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4C3E1" w14:textId="77777777" w:rsidR="00835D0D" w:rsidRDefault="00C92458" w:rsidP="00D15FCD">
      <w:pPr>
        <w:spacing w:after="120"/>
      </w:pPr>
      <w:bookmarkStart w:id="0" w:name="_GoBack"/>
      <w:bookmarkEnd w:id="0"/>
      <w:r>
        <w:t xml:space="preserve">CoC Name: </w:t>
      </w:r>
      <w:r w:rsidR="00835D0D">
        <w:rPr>
          <w:noProof/>
        </w:rPr>
        <w:t>Omaha, Council Bluffs CoC</w:t>
      </w:r>
    </w:p>
    <w:p w14:paraId="1F1B48A9" w14:textId="77777777" w:rsidR="00835D0D" w:rsidRPr="00DA0F8F" w:rsidRDefault="00835D0D" w:rsidP="00D15FCD">
      <w:pPr>
        <w:spacing w:after="120"/>
        <w:rPr>
          <w:b/>
        </w:rPr>
      </w:pPr>
      <w:r w:rsidRPr="00833659">
        <w:t xml:space="preserve">CoC Number: </w:t>
      </w:r>
      <w:r>
        <w:rPr>
          <w:noProof/>
        </w:rPr>
        <w:t>NE-501</w:t>
      </w:r>
    </w:p>
    <w:p w14:paraId="74BF3E87" w14:textId="77777777" w:rsidR="00835D0D" w:rsidRPr="00845968" w:rsidRDefault="00835D0D" w:rsidP="00D15FCD">
      <w:pPr>
        <w:spacing w:after="120"/>
      </w:pPr>
      <w:r>
        <w:rPr>
          <w:noProof/>
        </w:rPr>
        <mc:AlternateContent>
          <mc:Choice Requires="wps">
            <w:drawing>
              <wp:anchor distT="0" distB="0" distL="114300" distR="114300" simplePos="0" relativeHeight="251665408" behindDoc="0" locked="0" layoutInCell="1" allowOverlap="1" wp14:anchorId="210C906D" wp14:editId="7A0D6A74">
                <wp:simplePos x="0" y="0"/>
                <wp:positionH relativeFrom="column">
                  <wp:posOffset>-59055</wp:posOffset>
                </wp:positionH>
                <wp:positionV relativeFrom="paragraph">
                  <wp:posOffset>110490</wp:posOffset>
                </wp:positionV>
                <wp:extent cx="6117590" cy="635"/>
                <wp:effectExtent l="7620" t="5715" r="8890" b="1270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9525">
                          <a:solidFill>
                            <a:srgbClr val="000000"/>
                          </a:solidFill>
                          <a:round/>
                          <a:headEnd/>
                          <a:tailEnd/>
                        </a:ln>
                        <a:extLst>
                          <a:ext uri="{909E8E84-426E-40dd-AFC4-6F175D3DCCD1}">
                            <a14:hiddenFill xmlns:cx="http://schemas.microsoft.com/office/drawing/2014/chartex" xmlns:cx1="http://schemas.microsoft.com/office/drawing/2015/9/8/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6582EDA" id="_x0000_t32" coordsize="21600,21600" o:spt="32" o:oned="t" path="m,l21600,21600e" filled="f">
                <v:path arrowok="t" fillok="f" o:connecttype="none"/>
                <o:lock v:ext="edit" shapetype="t"/>
              </v:shapetype>
              <v:shape id="AutoShape 2" o:spid="_x0000_s1026" type="#_x0000_t32" style="position:absolute;margin-left:-4.65pt;margin-top:8.7pt;width:481.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9/QEAAMgDAAAOAAAAZHJzL2Uyb0RvYy54bWysU8GO2jAQvVfqP1i+QxIWKESE1SpAL9sW&#10;abcfYGwnsZp4LNsQUNV/79gE2m1vVXOwxp6ZN/PmTVaP564lJ2mdAl3QbJxSIjUHoXRd0K+vu9GC&#10;EueZFqwFLQt6kY4+rt+/W/UmlxNooBXSEgTRLu9NQRvvTZ4kjjeyY24MRmp0VmA75vFq60RY1iN6&#10;1yaTNJ0nPVhhLHDpHL5urk66jvhVJbn/UlVOetIWFHvz8bTxPIQzWa9YXltmGsWHNtg/dNExpbHo&#10;HWrDPCNHq/6C6hS34KDyYw5dAlWluIwckE2W/sHmpWFGRi44HGfuY3L/D5Z/Pu0tUaKgKJRmHUr0&#10;dPQQK5NJGE9vXI5Rpd7bQJCf9Yt5Bv7NEQ1lw3QtY/DrxWBuFjKSNynh4gwWOfSfQGAMQ/w4q3Nl&#10;uwCJUyDnKMnlLok8e8LxcZ5lH2ZLVI6jb/4wi/gsv6Ua6/xHCR0JRkGdt0zVjS9Ba5QebBYLsdOz&#10;86Exlt8SQl0NO9W2cQNaTfqCLmeTWUxw0CoRnCHM2fpQtpacWNih+A1dvAmzcNQigjWSie1ge6ba&#10;q43FWx3wkBq2M1jXJfm+TJfbxXYxHU0n8+1omgoxetqV09F8h/Q3D5uy3GQ/hqq3/DjmMNmrRgcQ&#10;l729jR/XJfIdVjvs4+/3KNKvH3D9EwAA//8DAFBLAwQUAAYACAAAACEAdyT3b94AAAAIAQAADwAA&#10;AGRycy9kb3ducmV2LnhtbEyPwU7DMBBE70j9B2sr9YJaJ6UBEuJUVSUOHGkrcXXjJQnE6yh2mtCv&#10;Z3uC486MZt/k28m24oK9bxwpiFcRCKTSmYYqBafj6/IZhA+ajG4doYIf9LAtZne5zowb6R0vh1AJ&#10;LiGfaQV1CF0mpS9rtNqvXIfE3qfrrQ589pU0vR653LZyHUWP0uqG+EOtO9zXWH4fBqsA/ZDE0S61&#10;1entOt5/rK9fY3dUajGfdi8gAk7hLww3fEaHgpnObiDjRatgmT5wkvWnDQj202QTgzjfhARkkcv/&#10;A4pfAAAA//8DAFBLAQItABQABgAIAAAAIQC2gziS/gAAAOEBAAATAAAAAAAAAAAAAAAAAAAAAABb&#10;Q29udGVudF9UeXBlc10ueG1sUEsBAi0AFAAGAAgAAAAhADj9If/WAAAAlAEAAAsAAAAAAAAAAAAA&#10;AAAALwEAAF9yZWxzLy5yZWxzUEsBAi0AFAAGAAgAAAAhAD4s+D39AQAAyAMAAA4AAAAAAAAAAAAA&#10;AAAALgIAAGRycy9lMm9Eb2MueG1sUEsBAi0AFAAGAAgAAAAhAHck92/eAAAACAEAAA8AAAAAAAAA&#10;AAAAAAAAVwQAAGRycy9kb3ducmV2LnhtbFBLBQYAAAAABAAEAPMAAABiBQAAAAA=&#10;"/>
            </w:pict>
          </mc:Fallback>
        </mc:AlternateContent>
      </w:r>
    </w:p>
    <w:p w14:paraId="67CEB7A7" w14:textId="77777777" w:rsidR="00835D0D" w:rsidRPr="00855800" w:rsidRDefault="00835D0D" w:rsidP="00D15FCD">
      <w:pPr>
        <w:spacing w:after="120"/>
      </w:pPr>
      <w:r w:rsidRPr="00855800">
        <w:t>The chart</w:t>
      </w:r>
      <w:r>
        <w:t xml:space="preserve"> below</w:t>
      </w:r>
      <w:r w:rsidRPr="00855800">
        <w:t xml:space="preserve"> indicates the maximum amount of points available for each scoring category and the actual score </w:t>
      </w:r>
      <w:r>
        <w:t>your</w:t>
      </w:r>
      <w:r w:rsidRPr="00855800">
        <w:t xml:space="preserve"> CoC received.</w:t>
      </w:r>
    </w:p>
    <w:p w14:paraId="00687031" w14:textId="77777777" w:rsidR="00835D0D" w:rsidRPr="00845968" w:rsidRDefault="00835D0D" w:rsidP="00D15FCD">
      <w:pPr>
        <w:spacing w:after="120"/>
      </w:pPr>
    </w:p>
    <w:tbl>
      <w:tblPr>
        <w:tblW w:w="8050" w:type="dxa"/>
        <w:jc w:val="center"/>
        <w:tblLook w:val="04A0" w:firstRow="1" w:lastRow="0" w:firstColumn="1" w:lastColumn="0" w:noHBand="0" w:noVBand="1"/>
      </w:tblPr>
      <w:tblGrid>
        <w:gridCol w:w="4780"/>
        <w:gridCol w:w="1765"/>
        <w:gridCol w:w="1505"/>
      </w:tblGrid>
      <w:tr w:rsidR="00835D0D" w:rsidRPr="00845968" w14:paraId="7B286AD7" w14:textId="77777777">
        <w:trPr>
          <w:trHeight w:val="870"/>
          <w:jc w:val="center"/>
        </w:trPr>
        <w:tc>
          <w:tcPr>
            <w:tcW w:w="4780" w:type="dxa"/>
            <w:tcBorders>
              <w:top w:val="single" w:sz="4" w:space="0" w:color="75923C"/>
              <w:left w:val="single" w:sz="4" w:space="0" w:color="75923C"/>
              <w:bottom w:val="single" w:sz="4" w:space="0" w:color="auto"/>
              <w:right w:val="single" w:sz="4" w:space="0" w:color="75923C"/>
            </w:tcBorders>
            <w:shd w:val="clear" w:color="auto" w:fill="auto"/>
          </w:tcPr>
          <w:p w14:paraId="41A4B834" w14:textId="77777777" w:rsidR="00835D0D" w:rsidRPr="00DA0F8F" w:rsidRDefault="00835D0D" w:rsidP="00D15FCD">
            <w:pPr>
              <w:spacing w:after="120"/>
              <w:jc w:val="center"/>
              <w:rPr>
                <w:color w:val="000000"/>
              </w:rPr>
            </w:pPr>
            <w:r w:rsidRPr="00DA0F8F">
              <w:rPr>
                <w:color w:val="000000"/>
              </w:rPr>
              <w:t>Scoring Category</w:t>
            </w:r>
          </w:p>
        </w:tc>
        <w:tc>
          <w:tcPr>
            <w:tcW w:w="1765" w:type="dxa"/>
            <w:tcBorders>
              <w:top w:val="single" w:sz="4" w:space="0" w:color="auto"/>
              <w:left w:val="nil"/>
              <w:bottom w:val="single" w:sz="4" w:space="0" w:color="auto"/>
              <w:right w:val="single" w:sz="4" w:space="0" w:color="auto"/>
            </w:tcBorders>
            <w:shd w:val="clear" w:color="auto" w:fill="auto"/>
          </w:tcPr>
          <w:p w14:paraId="673B89C4" w14:textId="77777777" w:rsidR="00835D0D" w:rsidRPr="007C2826" w:rsidRDefault="00835D0D" w:rsidP="00D15FCD">
            <w:pPr>
              <w:spacing w:after="120"/>
              <w:jc w:val="center"/>
              <w:rPr>
                <w:color w:val="000000"/>
              </w:rPr>
            </w:pPr>
            <w:r w:rsidRPr="007C2826">
              <w:rPr>
                <w:color w:val="000000"/>
              </w:rPr>
              <w:t>Maximum Score (Points)</w:t>
            </w:r>
          </w:p>
        </w:tc>
        <w:tc>
          <w:tcPr>
            <w:tcW w:w="1505" w:type="dxa"/>
            <w:tcBorders>
              <w:top w:val="single" w:sz="4" w:space="0" w:color="auto"/>
              <w:left w:val="nil"/>
              <w:bottom w:val="single" w:sz="4" w:space="0" w:color="auto"/>
              <w:right w:val="single" w:sz="4" w:space="0" w:color="auto"/>
            </w:tcBorders>
            <w:shd w:val="clear" w:color="auto" w:fill="auto"/>
          </w:tcPr>
          <w:p w14:paraId="72211B7C" w14:textId="77777777" w:rsidR="00835D0D" w:rsidRPr="00DA0F8F" w:rsidRDefault="00835D0D" w:rsidP="00D15FCD">
            <w:pPr>
              <w:spacing w:after="120"/>
              <w:jc w:val="center"/>
              <w:rPr>
                <w:color w:val="000000"/>
              </w:rPr>
            </w:pPr>
            <w:r>
              <w:rPr>
                <w:color w:val="000000"/>
              </w:rPr>
              <w:t xml:space="preserve">Your </w:t>
            </w:r>
            <w:r w:rsidRPr="007C2826">
              <w:rPr>
                <w:color w:val="000000"/>
              </w:rPr>
              <w:t xml:space="preserve">CoC Score </w:t>
            </w:r>
            <w:r w:rsidRPr="00DA0F8F">
              <w:rPr>
                <w:color w:val="000000"/>
              </w:rPr>
              <w:t>(Points)</w:t>
            </w:r>
          </w:p>
        </w:tc>
      </w:tr>
      <w:tr w:rsidR="00835D0D" w:rsidRPr="00DA0F8F" w14:paraId="4D80A983" w14:textId="77777777" w:rsidTr="00CA73C7">
        <w:trPr>
          <w:trHeight w:val="413"/>
          <w:jc w:val="center"/>
        </w:trPr>
        <w:tc>
          <w:tcPr>
            <w:tcW w:w="4780" w:type="dxa"/>
            <w:tcBorders>
              <w:top w:val="nil"/>
              <w:left w:val="single" w:sz="4" w:space="0" w:color="75923C"/>
              <w:bottom w:val="single" w:sz="4" w:space="0" w:color="auto"/>
              <w:right w:val="single" w:sz="4" w:space="0" w:color="75923C"/>
            </w:tcBorders>
            <w:shd w:val="clear" w:color="auto" w:fill="auto"/>
          </w:tcPr>
          <w:p w14:paraId="5897B19D" w14:textId="77777777" w:rsidR="00835D0D" w:rsidRPr="001E01BE" w:rsidRDefault="00835D0D" w:rsidP="000613FA">
            <w:pPr>
              <w:spacing w:after="120"/>
              <w:jc w:val="center"/>
              <w:rPr>
                <w:i/>
                <w:iCs/>
              </w:rPr>
            </w:pPr>
            <w:r w:rsidRPr="007C2826">
              <w:rPr>
                <w:i/>
                <w:iCs/>
              </w:rPr>
              <w:t>CoC</w:t>
            </w:r>
            <w:r w:rsidRPr="001E01BE">
              <w:rPr>
                <w:i/>
                <w:iCs/>
              </w:rPr>
              <w:t xml:space="preserve"> Engagement</w:t>
            </w:r>
          </w:p>
        </w:tc>
        <w:tc>
          <w:tcPr>
            <w:tcW w:w="1765" w:type="dxa"/>
            <w:tcBorders>
              <w:top w:val="nil"/>
              <w:left w:val="nil"/>
              <w:bottom w:val="single" w:sz="4" w:space="0" w:color="auto"/>
              <w:right w:val="single" w:sz="4" w:space="0" w:color="auto"/>
            </w:tcBorders>
            <w:shd w:val="clear" w:color="auto" w:fill="auto"/>
          </w:tcPr>
          <w:p w14:paraId="4E85C972" w14:textId="77777777" w:rsidR="00835D0D" w:rsidRPr="00845968" w:rsidRDefault="00835D0D" w:rsidP="00D15FCD">
            <w:pPr>
              <w:spacing w:after="120"/>
              <w:jc w:val="center"/>
              <w:rPr>
                <w:color w:val="000000"/>
              </w:rPr>
            </w:pPr>
            <w:r>
              <w:rPr>
                <w:color w:val="000000"/>
              </w:rPr>
              <w:t>55</w:t>
            </w:r>
          </w:p>
        </w:tc>
        <w:tc>
          <w:tcPr>
            <w:tcW w:w="1505" w:type="dxa"/>
            <w:tcBorders>
              <w:top w:val="nil"/>
              <w:left w:val="nil"/>
              <w:bottom w:val="single" w:sz="4" w:space="0" w:color="auto"/>
              <w:right w:val="single" w:sz="4" w:space="0" w:color="auto"/>
            </w:tcBorders>
            <w:shd w:val="clear" w:color="auto" w:fill="auto"/>
          </w:tcPr>
          <w:p w14:paraId="7D8E0C74" w14:textId="77777777" w:rsidR="00835D0D" w:rsidRPr="00DA0F8F" w:rsidRDefault="00835D0D" w:rsidP="00D15FCD">
            <w:pPr>
              <w:spacing w:after="120"/>
              <w:jc w:val="center"/>
              <w:rPr>
                <w:color w:val="000000"/>
              </w:rPr>
            </w:pPr>
            <w:r w:rsidRPr="00352602">
              <w:rPr>
                <w:noProof/>
                <w:color w:val="000000"/>
              </w:rPr>
              <w:t>55.25</w:t>
            </w:r>
          </w:p>
        </w:tc>
      </w:tr>
      <w:tr w:rsidR="00835D0D" w:rsidRPr="00DA0F8F" w14:paraId="3AA78C2A" w14:textId="77777777">
        <w:trPr>
          <w:trHeight w:val="350"/>
          <w:jc w:val="center"/>
        </w:trPr>
        <w:tc>
          <w:tcPr>
            <w:tcW w:w="4780" w:type="dxa"/>
            <w:tcBorders>
              <w:top w:val="nil"/>
              <w:left w:val="single" w:sz="4" w:space="0" w:color="75923C"/>
              <w:bottom w:val="single" w:sz="4" w:space="0" w:color="auto"/>
              <w:right w:val="single" w:sz="4" w:space="0" w:color="75923C"/>
            </w:tcBorders>
            <w:shd w:val="clear" w:color="auto" w:fill="auto"/>
          </w:tcPr>
          <w:p w14:paraId="5BF3EBAB" w14:textId="77777777" w:rsidR="00835D0D" w:rsidRPr="00DA0F8F" w:rsidRDefault="00835D0D" w:rsidP="00D15FCD">
            <w:pPr>
              <w:spacing w:after="120"/>
              <w:jc w:val="center"/>
              <w:rPr>
                <w:i/>
                <w:iCs/>
              </w:rPr>
            </w:pPr>
            <w:r w:rsidRPr="00DA0F8F">
              <w:rPr>
                <w:i/>
                <w:iCs/>
              </w:rPr>
              <w:t>Homeless Management Information System</w:t>
            </w:r>
          </w:p>
        </w:tc>
        <w:tc>
          <w:tcPr>
            <w:tcW w:w="1765" w:type="dxa"/>
            <w:tcBorders>
              <w:top w:val="nil"/>
              <w:left w:val="nil"/>
              <w:bottom w:val="single" w:sz="4" w:space="0" w:color="auto"/>
              <w:right w:val="single" w:sz="4" w:space="0" w:color="auto"/>
            </w:tcBorders>
            <w:shd w:val="clear" w:color="auto" w:fill="auto"/>
          </w:tcPr>
          <w:p w14:paraId="37A4DA3C" w14:textId="77777777" w:rsidR="00835D0D" w:rsidRPr="00DA0F8F" w:rsidRDefault="00835D0D" w:rsidP="00D15FCD">
            <w:pPr>
              <w:spacing w:after="120"/>
              <w:jc w:val="center"/>
              <w:rPr>
                <w:color w:val="000000"/>
              </w:rPr>
            </w:pPr>
            <w:r>
              <w:rPr>
                <w:color w:val="000000"/>
              </w:rPr>
              <w:t>27</w:t>
            </w:r>
          </w:p>
        </w:tc>
        <w:tc>
          <w:tcPr>
            <w:tcW w:w="1505" w:type="dxa"/>
            <w:tcBorders>
              <w:top w:val="nil"/>
              <w:left w:val="nil"/>
              <w:bottom w:val="single" w:sz="4" w:space="0" w:color="auto"/>
              <w:right w:val="single" w:sz="4" w:space="0" w:color="auto"/>
            </w:tcBorders>
            <w:shd w:val="clear" w:color="auto" w:fill="auto"/>
          </w:tcPr>
          <w:p w14:paraId="4A5504D7" w14:textId="77777777" w:rsidR="00835D0D" w:rsidRPr="00DA0F8F" w:rsidRDefault="00835D0D" w:rsidP="00D15FCD">
            <w:pPr>
              <w:spacing w:after="120"/>
              <w:jc w:val="center"/>
              <w:rPr>
                <w:color w:val="000000"/>
              </w:rPr>
            </w:pPr>
            <w:r w:rsidRPr="00352602">
              <w:rPr>
                <w:noProof/>
                <w:color w:val="000000"/>
              </w:rPr>
              <w:t>24</w:t>
            </w:r>
          </w:p>
        </w:tc>
      </w:tr>
      <w:tr w:rsidR="00835D0D" w:rsidRPr="00DA0F8F" w14:paraId="7762DAF7"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48B8FBDA" w14:textId="77777777" w:rsidR="00835D0D" w:rsidRPr="00DA0F8F" w:rsidRDefault="00835D0D" w:rsidP="00D15FCD">
            <w:pPr>
              <w:spacing w:after="120"/>
              <w:jc w:val="center"/>
              <w:rPr>
                <w:i/>
                <w:iCs/>
              </w:rPr>
            </w:pPr>
            <w:r w:rsidRPr="00DA0F8F">
              <w:rPr>
                <w:i/>
                <w:iCs/>
              </w:rPr>
              <w:t>System Performance</w:t>
            </w:r>
          </w:p>
        </w:tc>
        <w:tc>
          <w:tcPr>
            <w:tcW w:w="1765" w:type="dxa"/>
            <w:tcBorders>
              <w:top w:val="nil"/>
              <w:left w:val="nil"/>
              <w:bottom w:val="single" w:sz="4" w:space="0" w:color="auto"/>
              <w:right w:val="single" w:sz="4" w:space="0" w:color="auto"/>
            </w:tcBorders>
            <w:shd w:val="clear" w:color="auto" w:fill="auto"/>
          </w:tcPr>
          <w:p w14:paraId="7BA2B6CE" w14:textId="77777777" w:rsidR="00835D0D" w:rsidRPr="00DA0F8F" w:rsidRDefault="00835D0D" w:rsidP="00D15FCD">
            <w:pPr>
              <w:spacing w:after="120"/>
              <w:jc w:val="center"/>
              <w:rPr>
                <w:color w:val="000000"/>
              </w:rPr>
            </w:pPr>
            <w:r>
              <w:rPr>
                <w:color w:val="000000"/>
              </w:rPr>
              <w:t>98</w:t>
            </w:r>
          </w:p>
        </w:tc>
        <w:tc>
          <w:tcPr>
            <w:tcW w:w="1505" w:type="dxa"/>
            <w:tcBorders>
              <w:top w:val="nil"/>
              <w:left w:val="nil"/>
              <w:bottom w:val="single" w:sz="4" w:space="0" w:color="auto"/>
              <w:right w:val="single" w:sz="4" w:space="0" w:color="auto"/>
            </w:tcBorders>
            <w:shd w:val="clear" w:color="auto" w:fill="auto"/>
          </w:tcPr>
          <w:p w14:paraId="2C4BEA28" w14:textId="77777777" w:rsidR="00835D0D" w:rsidRPr="00DA0F8F" w:rsidRDefault="00835D0D" w:rsidP="00D15FCD">
            <w:pPr>
              <w:spacing w:after="120"/>
              <w:jc w:val="center"/>
              <w:rPr>
                <w:color w:val="000000"/>
              </w:rPr>
            </w:pPr>
            <w:r w:rsidRPr="00352602">
              <w:rPr>
                <w:noProof/>
                <w:color w:val="000000"/>
              </w:rPr>
              <w:t>79.5</w:t>
            </w:r>
          </w:p>
        </w:tc>
      </w:tr>
      <w:tr w:rsidR="00835D0D" w:rsidRPr="00DA0F8F" w14:paraId="52D85DFD"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26773F27" w14:textId="77777777" w:rsidR="00835D0D" w:rsidRPr="00DA0F8F" w:rsidRDefault="00835D0D" w:rsidP="00D15FCD">
            <w:pPr>
              <w:spacing w:after="120"/>
              <w:jc w:val="center"/>
              <w:rPr>
                <w:i/>
                <w:iCs/>
              </w:rPr>
            </w:pPr>
            <w:r>
              <w:rPr>
                <w:i/>
                <w:iCs/>
              </w:rPr>
              <w:t>Accessing Mainstream Benefits</w:t>
            </w:r>
          </w:p>
        </w:tc>
        <w:tc>
          <w:tcPr>
            <w:tcW w:w="1765" w:type="dxa"/>
            <w:tcBorders>
              <w:top w:val="nil"/>
              <w:left w:val="nil"/>
              <w:bottom w:val="single" w:sz="4" w:space="0" w:color="auto"/>
              <w:right w:val="single" w:sz="4" w:space="0" w:color="auto"/>
            </w:tcBorders>
            <w:shd w:val="clear" w:color="auto" w:fill="auto"/>
          </w:tcPr>
          <w:p w14:paraId="47BE73BD" w14:textId="77777777" w:rsidR="00835D0D" w:rsidRPr="00DA0F8F" w:rsidRDefault="00835D0D" w:rsidP="00D15FCD">
            <w:pPr>
              <w:spacing w:after="120"/>
              <w:jc w:val="center"/>
              <w:rPr>
                <w:color w:val="000000"/>
              </w:rPr>
            </w:pPr>
            <w:r>
              <w:rPr>
                <w:color w:val="000000"/>
              </w:rPr>
              <w:t>19</w:t>
            </w:r>
          </w:p>
        </w:tc>
        <w:tc>
          <w:tcPr>
            <w:tcW w:w="1505" w:type="dxa"/>
            <w:tcBorders>
              <w:top w:val="nil"/>
              <w:left w:val="nil"/>
              <w:bottom w:val="single" w:sz="4" w:space="0" w:color="auto"/>
              <w:right w:val="single" w:sz="4" w:space="0" w:color="auto"/>
            </w:tcBorders>
            <w:shd w:val="clear" w:color="auto" w:fill="auto"/>
          </w:tcPr>
          <w:p w14:paraId="706AF8D1" w14:textId="77777777" w:rsidR="00835D0D" w:rsidRPr="00DA0F8F" w:rsidRDefault="00835D0D" w:rsidP="007C00AF">
            <w:pPr>
              <w:spacing w:after="120"/>
              <w:jc w:val="center"/>
              <w:rPr>
                <w:color w:val="000000"/>
              </w:rPr>
            </w:pPr>
            <w:r w:rsidRPr="00352602">
              <w:rPr>
                <w:noProof/>
                <w:color w:val="000000"/>
              </w:rPr>
              <w:t>18.5</w:t>
            </w:r>
          </w:p>
        </w:tc>
      </w:tr>
      <w:tr w:rsidR="00835D0D" w:rsidRPr="00DA0F8F" w14:paraId="13DA4111"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519A9AAF" w14:textId="77777777" w:rsidR="00835D0D" w:rsidRPr="000613FA" w:rsidRDefault="00835D0D" w:rsidP="00D15FCD">
            <w:pPr>
              <w:spacing w:after="120"/>
              <w:jc w:val="center"/>
              <w:rPr>
                <w:iCs/>
              </w:rPr>
            </w:pPr>
            <w:r>
              <w:rPr>
                <w:iCs/>
              </w:rPr>
              <w:t>Leveraging</w:t>
            </w:r>
          </w:p>
        </w:tc>
        <w:tc>
          <w:tcPr>
            <w:tcW w:w="1765" w:type="dxa"/>
            <w:tcBorders>
              <w:top w:val="nil"/>
              <w:left w:val="nil"/>
              <w:bottom w:val="single" w:sz="4" w:space="0" w:color="auto"/>
              <w:right w:val="single" w:sz="4" w:space="0" w:color="auto"/>
            </w:tcBorders>
            <w:shd w:val="clear" w:color="auto" w:fill="auto"/>
          </w:tcPr>
          <w:p w14:paraId="332D1B5E" w14:textId="77777777" w:rsidR="00835D0D" w:rsidRPr="000613FA" w:rsidRDefault="00835D0D" w:rsidP="00D15FCD">
            <w:pPr>
              <w:spacing w:after="120"/>
              <w:jc w:val="center"/>
              <w:rPr>
                <w:color w:val="000000"/>
              </w:rPr>
            </w:pPr>
            <w:r w:rsidRPr="000613FA">
              <w:rPr>
                <w:color w:val="000000"/>
              </w:rPr>
              <w:t>1</w:t>
            </w:r>
          </w:p>
        </w:tc>
        <w:tc>
          <w:tcPr>
            <w:tcW w:w="1505" w:type="dxa"/>
            <w:tcBorders>
              <w:top w:val="nil"/>
              <w:left w:val="nil"/>
              <w:bottom w:val="single" w:sz="4" w:space="0" w:color="auto"/>
              <w:right w:val="single" w:sz="4" w:space="0" w:color="auto"/>
            </w:tcBorders>
            <w:shd w:val="clear" w:color="auto" w:fill="auto"/>
          </w:tcPr>
          <w:p w14:paraId="647FBF49" w14:textId="77777777" w:rsidR="00835D0D" w:rsidRPr="000613FA" w:rsidRDefault="00835D0D" w:rsidP="00D15FCD">
            <w:pPr>
              <w:spacing w:after="120"/>
              <w:jc w:val="center"/>
              <w:rPr>
                <w:color w:val="000000"/>
              </w:rPr>
            </w:pPr>
            <w:r w:rsidRPr="00352602">
              <w:rPr>
                <w:noProof/>
                <w:color w:val="000000"/>
              </w:rPr>
              <w:t>0.75</w:t>
            </w:r>
          </w:p>
        </w:tc>
      </w:tr>
      <w:tr w:rsidR="00835D0D" w:rsidRPr="00DA0F8F" w14:paraId="66709CED"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36FEF215" w14:textId="77777777" w:rsidR="00835D0D" w:rsidRPr="00DA0F8F" w:rsidRDefault="00835D0D" w:rsidP="00D15FCD">
            <w:pPr>
              <w:spacing w:after="120"/>
              <w:jc w:val="center"/>
              <w:rPr>
                <w:b/>
                <w:iCs/>
              </w:rPr>
            </w:pPr>
            <w:r w:rsidRPr="00DA0F8F">
              <w:rPr>
                <w:b/>
                <w:iCs/>
              </w:rPr>
              <w:t>CoC Application Score</w:t>
            </w:r>
          </w:p>
        </w:tc>
        <w:tc>
          <w:tcPr>
            <w:tcW w:w="1765" w:type="dxa"/>
            <w:tcBorders>
              <w:top w:val="nil"/>
              <w:left w:val="nil"/>
              <w:bottom w:val="single" w:sz="4" w:space="0" w:color="auto"/>
              <w:right w:val="single" w:sz="4" w:space="0" w:color="auto"/>
            </w:tcBorders>
            <w:shd w:val="clear" w:color="auto" w:fill="auto"/>
          </w:tcPr>
          <w:p w14:paraId="6D99DF5A" w14:textId="77777777" w:rsidR="00835D0D" w:rsidRPr="00DA0F8F" w:rsidRDefault="00835D0D" w:rsidP="00D15FCD">
            <w:pPr>
              <w:spacing w:after="120"/>
              <w:jc w:val="center"/>
              <w:rPr>
                <w:b/>
                <w:color w:val="000000"/>
              </w:rPr>
            </w:pPr>
            <w:r w:rsidRPr="00DA0F8F">
              <w:rPr>
                <w:b/>
                <w:color w:val="000000"/>
              </w:rPr>
              <w:t>200</w:t>
            </w:r>
            <w:r>
              <w:rPr>
                <w:b/>
                <w:color w:val="000000"/>
              </w:rPr>
              <w:t xml:space="preserve"> </w:t>
            </w:r>
          </w:p>
        </w:tc>
        <w:tc>
          <w:tcPr>
            <w:tcW w:w="1505" w:type="dxa"/>
            <w:tcBorders>
              <w:top w:val="nil"/>
              <w:left w:val="nil"/>
              <w:bottom w:val="single" w:sz="4" w:space="0" w:color="auto"/>
              <w:right w:val="single" w:sz="4" w:space="0" w:color="auto"/>
            </w:tcBorders>
            <w:shd w:val="clear" w:color="auto" w:fill="auto"/>
          </w:tcPr>
          <w:p w14:paraId="431A63BA" w14:textId="77777777" w:rsidR="00835D0D" w:rsidRPr="00DA0F8F" w:rsidRDefault="00835D0D" w:rsidP="00D15FCD">
            <w:pPr>
              <w:spacing w:after="120"/>
              <w:jc w:val="center"/>
              <w:rPr>
                <w:b/>
                <w:color w:val="000000"/>
              </w:rPr>
            </w:pPr>
            <w:r w:rsidRPr="00352602">
              <w:rPr>
                <w:b/>
                <w:noProof/>
                <w:color w:val="000000"/>
              </w:rPr>
              <w:t>181</w:t>
            </w:r>
          </w:p>
        </w:tc>
      </w:tr>
      <w:tr w:rsidR="00835D0D" w:rsidRPr="00DA0F8F" w14:paraId="7793D77B"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09411F72" w14:textId="77777777" w:rsidR="00835D0D" w:rsidRPr="00DA0F8F" w:rsidRDefault="00835D0D" w:rsidP="000713AF">
            <w:pPr>
              <w:spacing w:after="120"/>
              <w:jc w:val="center"/>
              <w:rPr>
                <w:i/>
                <w:iCs/>
              </w:rPr>
            </w:pPr>
            <w:r w:rsidRPr="00DA0F8F">
              <w:rPr>
                <w:i/>
                <w:iCs/>
              </w:rPr>
              <w:t xml:space="preserve">Bonus Points – </w:t>
            </w:r>
            <w:r>
              <w:rPr>
                <w:i/>
                <w:iCs/>
              </w:rPr>
              <w:t>Early</w:t>
            </w:r>
            <w:r w:rsidRPr="00DA0F8F">
              <w:rPr>
                <w:i/>
                <w:iCs/>
              </w:rPr>
              <w:t xml:space="preserve"> submission</w:t>
            </w:r>
          </w:p>
        </w:tc>
        <w:tc>
          <w:tcPr>
            <w:tcW w:w="1765" w:type="dxa"/>
            <w:tcBorders>
              <w:top w:val="nil"/>
              <w:left w:val="nil"/>
              <w:bottom w:val="single" w:sz="4" w:space="0" w:color="auto"/>
              <w:right w:val="single" w:sz="4" w:space="0" w:color="auto"/>
            </w:tcBorders>
            <w:shd w:val="clear" w:color="auto" w:fill="auto"/>
          </w:tcPr>
          <w:p w14:paraId="226008BF" w14:textId="77777777" w:rsidR="00835D0D" w:rsidRPr="00DA0F8F" w:rsidRDefault="00835D0D" w:rsidP="00D15FCD">
            <w:pPr>
              <w:spacing w:after="120"/>
              <w:jc w:val="center"/>
              <w:rPr>
                <w:color w:val="000000"/>
              </w:rPr>
            </w:pPr>
            <w:r w:rsidRPr="00DA0F8F">
              <w:rPr>
                <w:color w:val="000000"/>
              </w:rPr>
              <w:t>3</w:t>
            </w:r>
          </w:p>
        </w:tc>
        <w:tc>
          <w:tcPr>
            <w:tcW w:w="1505" w:type="dxa"/>
            <w:tcBorders>
              <w:top w:val="nil"/>
              <w:left w:val="nil"/>
              <w:bottom w:val="single" w:sz="4" w:space="0" w:color="auto"/>
              <w:right w:val="single" w:sz="4" w:space="0" w:color="auto"/>
            </w:tcBorders>
            <w:shd w:val="clear" w:color="auto" w:fill="auto"/>
          </w:tcPr>
          <w:p w14:paraId="593C40EE" w14:textId="77777777" w:rsidR="00835D0D" w:rsidRPr="00DA0F8F" w:rsidRDefault="00835D0D" w:rsidP="00D15FCD">
            <w:pPr>
              <w:spacing w:after="120"/>
              <w:jc w:val="center"/>
              <w:rPr>
                <w:color w:val="000000"/>
              </w:rPr>
            </w:pPr>
            <w:r w:rsidRPr="00352602">
              <w:rPr>
                <w:noProof/>
                <w:color w:val="000000"/>
              </w:rPr>
              <w:t>3</w:t>
            </w:r>
          </w:p>
        </w:tc>
      </w:tr>
      <w:tr w:rsidR="00835D0D" w:rsidRPr="00DA0F8F" w14:paraId="19799EAE" w14:textId="77777777">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14:paraId="7DBE6E89" w14:textId="77777777" w:rsidR="00835D0D" w:rsidRPr="00DA0F8F" w:rsidRDefault="00835D0D" w:rsidP="00D15FCD">
            <w:pPr>
              <w:spacing w:after="120"/>
              <w:jc w:val="center"/>
              <w:rPr>
                <w:b/>
                <w:bCs/>
              </w:rPr>
            </w:pPr>
            <w:r w:rsidRPr="00DA0F8F">
              <w:rPr>
                <w:b/>
                <w:bCs/>
              </w:rPr>
              <w:t>Total CoC Score with Bonus Points</w:t>
            </w:r>
          </w:p>
        </w:tc>
        <w:tc>
          <w:tcPr>
            <w:tcW w:w="1765" w:type="dxa"/>
            <w:tcBorders>
              <w:top w:val="nil"/>
              <w:left w:val="nil"/>
              <w:bottom w:val="single" w:sz="4" w:space="0" w:color="auto"/>
              <w:right w:val="single" w:sz="4" w:space="0" w:color="auto"/>
            </w:tcBorders>
            <w:shd w:val="clear" w:color="auto" w:fill="auto"/>
          </w:tcPr>
          <w:p w14:paraId="0DA36A7E" w14:textId="77777777" w:rsidR="00835D0D" w:rsidRPr="00DA0F8F" w:rsidRDefault="00835D0D" w:rsidP="00D15FCD">
            <w:pPr>
              <w:spacing w:after="120"/>
              <w:jc w:val="center"/>
              <w:rPr>
                <w:b/>
                <w:color w:val="000000"/>
              </w:rPr>
            </w:pPr>
            <w:r w:rsidRPr="00DA0F8F">
              <w:rPr>
                <w:b/>
                <w:color w:val="000000"/>
              </w:rPr>
              <w:t>203</w:t>
            </w:r>
          </w:p>
        </w:tc>
        <w:tc>
          <w:tcPr>
            <w:tcW w:w="1505" w:type="dxa"/>
            <w:tcBorders>
              <w:top w:val="nil"/>
              <w:left w:val="nil"/>
              <w:bottom w:val="single" w:sz="4" w:space="0" w:color="auto"/>
              <w:right w:val="single" w:sz="4" w:space="0" w:color="auto"/>
            </w:tcBorders>
            <w:shd w:val="clear" w:color="auto" w:fill="auto"/>
          </w:tcPr>
          <w:p w14:paraId="51392CD4" w14:textId="77777777" w:rsidR="00835D0D" w:rsidRPr="00DA0F8F" w:rsidRDefault="00835D0D" w:rsidP="00E56EB7">
            <w:pPr>
              <w:spacing w:after="120"/>
              <w:jc w:val="center"/>
              <w:rPr>
                <w:b/>
                <w:color w:val="000000"/>
              </w:rPr>
            </w:pPr>
            <w:r w:rsidRPr="00352602">
              <w:rPr>
                <w:b/>
                <w:noProof/>
                <w:color w:val="000000"/>
              </w:rPr>
              <w:t>184</w:t>
            </w:r>
          </w:p>
        </w:tc>
      </w:tr>
    </w:tbl>
    <w:p w14:paraId="69C92EA2" w14:textId="77777777" w:rsidR="00835D0D" w:rsidRDefault="00835D0D" w:rsidP="00D15FCD">
      <w:pPr>
        <w:spacing w:after="120"/>
      </w:pPr>
    </w:p>
    <w:p w14:paraId="660EEA3F" w14:textId="77777777" w:rsidR="00835D0D" w:rsidRDefault="00835D0D" w:rsidP="00690C44">
      <w:pPr>
        <w:pStyle w:val="Heading3"/>
      </w:pPr>
      <w:r>
        <w:t>Overall Scores for all CoCs</w:t>
      </w:r>
    </w:p>
    <w:p w14:paraId="653D5437" w14:textId="77777777" w:rsidR="00835D0D" w:rsidRPr="00DA0F8F" w:rsidRDefault="00835D0D" w:rsidP="00342D6B">
      <w:pPr>
        <w:spacing w:after="120"/>
        <w:ind w:left="720"/>
      </w:pPr>
      <w:r w:rsidRPr="00DA0F8F">
        <w:t>High</w:t>
      </w:r>
      <w:r>
        <w:t>est</w:t>
      </w:r>
      <w:r w:rsidRPr="00DA0F8F">
        <w:t xml:space="preserve"> Scor</w:t>
      </w:r>
      <w:r>
        <w:t>e for any CoC</w:t>
      </w:r>
      <w:r w:rsidRPr="00DA0F8F">
        <w:t xml:space="preserve">: </w:t>
      </w:r>
      <w:r>
        <w:t xml:space="preserve">   188</w:t>
      </w:r>
    </w:p>
    <w:p w14:paraId="7CD4C04E" w14:textId="77777777" w:rsidR="00835D0D" w:rsidRPr="00DA0F8F" w:rsidRDefault="00835D0D" w:rsidP="00342D6B">
      <w:pPr>
        <w:spacing w:after="120"/>
        <w:ind w:left="720"/>
      </w:pPr>
      <w:r w:rsidRPr="00DA0F8F">
        <w:t>Low</w:t>
      </w:r>
      <w:r>
        <w:t>est</w:t>
      </w:r>
      <w:r w:rsidRPr="00DA0F8F">
        <w:t xml:space="preserve"> Scor</w:t>
      </w:r>
      <w:r>
        <w:t>e for any CoC</w:t>
      </w:r>
      <w:r w:rsidRPr="00DA0F8F">
        <w:t xml:space="preserve">: </w:t>
      </w:r>
      <w:r>
        <w:t xml:space="preserve">      49.5</w:t>
      </w:r>
    </w:p>
    <w:p w14:paraId="08E279FC" w14:textId="77777777" w:rsidR="00835D0D" w:rsidRDefault="00835D0D" w:rsidP="001755BB">
      <w:pPr>
        <w:spacing w:after="120"/>
        <w:ind w:left="720"/>
      </w:pPr>
      <w:r w:rsidRPr="00DA0F8F">
        <w:t>Median Score</w:t>
      </w:r>
      <w:r>
        <w:t xml:space="preserve"> for all CoCs:    149.75</w:t>
      </w:r>
    </w:p>
    <w:p w14:paraId="736E5F95" w14:textId="77777777" w:rsidR="00835D0D" w:rsidRDefault="00835D0D" w:rsidP="005D0A6A">
      <w:pPr>
        <w:spacing w:after="120"/>
        <w:ind w:left="720"/>
      </w:pPr>
      <w:r>
        <w:t>Weighted Median Score for all CoCs:  158.25*</w:t>
      </w:r>
    </w:p>
    <w:p w14:paraId="6C55C951" w14:textId="77777777" w:rsidR="00835D0D" w:rsidRDefault="00835D0D" w:rsidP="005D0A6A">
      <w:pPr>
        <w:spacing w:after="120"/>
        <w:ind w:left="720"/>
      </w:pPr>
    </w:p>
    <w:p w14:paraId="321921BC" w14:textId="0D1F4CDC" w:rsidR="00835D0D" w:rsidRDefault="00D26ADE" w:rsidP="005D0A6A">
      <w:pPr>
        <w:spacing w:after="120"/>
        <w:ind w:left="720"/>
      </w:pPr>
      <w:r>
        <w:t xml:space="preserve">*CoCs that scored higher than the weighted median score were more likely to gain funding relative to their </w:t>
      </w:r>
      <w:r w:rsidR="005027BF">
        <w:t xml:space="preserve">Annual Renewal Demand, while CoCs that scored lower </w:t>
      </w:r>
      <w:r>
        <w:t>than the weighted median were more likely to lose money relative to their Annual Renewal Demand.</w:t>
      </w:r>
    </w:p>
    <w:p w14:paraId="09300623" w14:textId="77777777" w:rsidR="00835D0D" w:rsidRPr="00BD1E17" w:rsidRDefault="00835D0D" w:rsidP="001755BB">
      <w:pPr>
        <w:spacing w:after="120"/>
        <w:ind w:left="720"/>
      </w:pPr>
    </w:p>
    <w:p w14:paraId="12682237" w14:textId="77777777" w:rsidR="00835D0D" w:rsidRDefault="00835D0D" w:rsidP="00833659">
      <w:pPr>
        <w:spacing w:after="120"/>
        <w:ind w:left="720"/>
        <w:rPr>
          <w:b/>
          <w:u w:val="single"/>
        </w:rPr>
      </w:pPr>
    </w:p>
    <w:p w14:paraId="3FF565FB" w14:textId="77777777" w:rsidR="00835D0D" w:rsidRDefault="00835D0D" w:rsidP="007E445B">
      <w:pPr>
        <w:spacing w:after="120"/>
        <w:rPr>
          <w:b/>
        </w:rPr>
      </w:pPr>
    </w:p>
    <w:p w14:paraId="44562B65" w14:textId="77777777" w:rsidR="00835D0D" w:rsidRDefault="00835D0D" w:rsidP="007E445B">
      <w:pPr>
        <w:spacing w:after="120"/>
        <w:rPr>
          <w:b/>
        </w:rPr>
      </w:pPr>
    </w:p>
    <w:p w14:paraId="38CB9A08" w14:textId="77777777" w:rsidR="00835D0D" w:rsidRDefault="00835D0D" w:rsidP="007E445B">
      <w:pPr>
        <w:spacing w:after="120"/>
        <w:rPr>
          <w:b/>
        </w:rPr>
      </w:pPr>
    </w:p>
    <w:p w14:paraId="75E104A9" w14:textId="77777777" w:rsidR="00835D0D" w:rsidRDefault="00835D0D" w:rsidP="007E445B">
      <w:pPr>
        <w:spacing w:after="120"/>
        <w:rPr>
          <w:b/>
        </w:rPr>
      </w:pPr>
      <w:r>
        <w:rPr>
          <w:b/>
        </w:rPr>
        <w:lastRenderedPageBreak/>
        <w:t>Specific CoC Application Questions with Points</w:t>
      </w:r>
    </w:p>
    <w:p w14:paraId="547CCCD7" w14:textId="77777777" w:rsidR="00835D0D" w:rsidRDefault="00835D0D" w:rsidP="007E445B">
      <w:pPr>
        <w:spacing w:after="120"/>
      </w:pPr>
      <w:r>
        <w:t xml:space="preserve">Below is a selection of some CoC Application questions that includes the total points available for each of the questions listed and the points received by the CoC for the question.  </w:t>
      </w:r>
    </w:p>
    <w:p w14:paraId="52CB4146" w14:textId="77777777" w:rsidR="00835D0D" w:rsidRDefault="00835D0D" w:rsidP="007E445B">
      <w:pPr>
        <w:rPr>
          <w:b/>
          <w:u w:val="single"/>
        </w:rPr>
      </w:pPr>
    </w:p>
    <w:tbl>
      <w:tblPr>
        <w:tblStyle w:val="TableGrid1"/>
        <w:tblW w:w="0" w:type="auto"/>
        <w:tblLook w:val="04A0" w:firstRow="1" w:lastRow="0" w:firstColumn="1" w:lastColumn="0" w:noHBand="0" w:noVBand="1"/>
      </w:tblPr>
      <w:tblGrid>
        <w:gridCol w:w="6968"/>
        <w:gridCol w:w="1341"/>
        <w:gridCol w:w="1041"/>
      </w:tblGrid>
      <w:tr w:rsidR="00835D0D" w:rsidRPr="00833659" w14:paraId="0D0A3C9F" w14:textId="77777777" w:rsidTr="002A40B7">
        <w:tc>
          <w:tcPr>
            <w:tcW w:w="7218" w:type="dxa"/>
          </w:tcPr>
          <w:p w14:paraId="5A940D38" w14:textId="77777777" w:rsidR="00835D0D" w:rsidRPr="00833659" w:rsidRDefault="00835D0D" w:rsidP="00833659">
            <w:pPr>
              <w:jc w:val="center"/>
              <w:rPr>
                <w:rFonts w:asciiTheme="minorHAnsi" w:eastAsiaTheme="minorHAnsi" w:hAnsiTheme="minorHAnsi"/>
                <w:b/>
                <w:sz w:val="22"/>
                <w:szCs w:val="22"/>
              </w:rPr>
            </w:pPr>
            <w:r w:rsidRPr="00833659">
              <w:rPr>
                <w:rFonts w:asciiTheme="minorHAnsi" w:eastAsiaTheme="minorHAnsi" w:hAnsiTheme="minorHAnsi"/>
                <w:b/>
                <w:sz w:val="22"/>
                <w:szCs w:val="22"/>
              </w:rPr>
              <w:t>CoC Application Questions</w:t>
            </w:r>
          </w:p>
        </w:tc>
        <w:tc>
          <w:tcPr>
            <w:tcW w:w="1350" w:type="dxa"/>
          </w:tcPr>
          <w:p w14:paraId="7CCC01AB" w14:textId="77777777" w:rsidR="00835D0D" w:rsidRPr="00833659" w:rsidRDefault="00835D0D" w:rsidP="00833659">
            <w:pPr>
              <w:jc w:val="center"/>
              <w:rPr>
                <w:rFonts w:asciiTheme="minorHAnsi" w:eastAsiaTheme="minorHAnsi" w:hAnsiTheme="minorHAnsi"/>
                <w:b/>
                <w:sz w:val="22"/>
                <w:szCs w:val="22"/>
              </w:rPr>
            </w:pPr>
            <w:r w:rsidRPr="00833659">
              <w:rPr>
                <w:rFonts w:asciiTheme="minorHAnsi" w:eastAsiaTheme="minorHAnsi" w:hAnsiTheme="minorHAnsi"/>
                <w:b/>
                <w:sz w:val="22"/>
                <w:szCs w:val="22"/>
              </w:rPr>
              <w:t>Maximum Score Available</w:t>
            </w:r>
          </w:p>
        </w:tc>
        <w:tc>
          <w:tcPr>
            <w:tcW w:w="1008" w:type="dxa"/>
          </w:tcPr>
          <w:p w14:paraId="396905A4" w14:textId="77777777" w:rsidR="00835D0D" w:rsidRPr="00833659" w:rsidRDefault="00835D0D" w:rsidP="00833659">
            <w:pPr>
              <w:jc w:val="center"/>
              <w:rPr>
                <w:rFonts w:asciiTheme="minorHAnsi" w:eastAsiaTheme="minorHAnsi" w:hAnsiTheme="minorHAnsi"/>
                <w:b/>
                <w:sz w:val="22"/>
                <w:szCs w:val="22"/>
              </w:rPr>
            </w:pPr>
            <w:r w:rsidRPr="00833659">
              <w:rPr>
                <w:rFonts w:asciiTheme="minorHAnsi" w:eastAsiaTheme="minorHAnsi" w:hAnsiTheme="minorHAnsi"/>
                <w:b/>
                <w:sz w:val="22"/>
                <w:szCs w:val="22"/>
              </w:rPr>
              <w:t>CoC Score Received</w:t>
            </w:r>
          </w:p>
        </w:tc>
      </w:tr>
      <w:tr w:rsidR="00835D0D" w:rsidRPr="00833659" w14:paraId="4ECE1D93" w14:textId="77777777" w:rsidTr="002A40B7">
        <w:tc>
          <w:tcPr>
            <w:tcW w:w="7218" w:type="dxa"/>
          </w:tcPr>
          <w:p w14:paraId="5CC463A5"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1C-4. List each of the Public Housing Agencies (PHAs) within the CoC's geographic area. If there are more than 5 PHAs within the CoC’s geographic area, list the 5 largest PHAs. For each PHA, provide the percentage of new admissions that were homeless at the time of admission between October 1, 2014 and March 31, 2015, and indicate whether the PHA has a homeless admissions preference in its Public Housing and/or Housing Choice Voucher (HCV) program. (Full credit consideration may be given for the relevant excerpt from the PHA’s administrative planning document(s) clearly showing the PHA's homeless preference, e.g. Administration Plan, Admissions and Continued Occupancy Policy (ACOP), Annual Plan, or 5-Year Plan, as appropriate).</w:t>
            </w:r>
          </w:p>
        </w:tc>
        <w:tc>
          <w:tcPr>
            <w:tcW w:w="1350" w:type="dxa"/>
          </w:tcPr>
          <w:p w14:paraId="6C2F0CFC" w14:textId="0FA9AF9D" w:rsidR="00835D0D" w:rsidRPr="00833659" w:rsidRDefault="00DB360C" w:rsidP="00833659">
            <w:pPr>
              <w:jc w:val="center"/>
              <w:rPr>
                <w:rFonts w:asciiTheme="minorHAnsi" w:eastAsiaTheme="minorHAnsi" w:hAnsiTheme="minorHAnsi"/>
                <w:sz w:val="22"/>
                <w:szCs w:val="22"/>
              </w:rPr>
            </w:pPr>
            <w:r>
              <w:rPr>
                <w:rFonts w:asciiTheme="minorHAnsi" w:eastAsiaTheme="minorHAnsi" w:hAnsiTheme="minorHAnsi"/>
                <w:sz w:val="22"/>
                <w:szCs w:val="22"/>
              </w:rPr>
              <w:t>3</w:t>
            </w:r>
          </w:p>
          <w:p w14:paraId="64121B07" w14:textId="77777777" w:rsidR="00835D0D" w:rsidRPr="00833659" w:rsidRDefault="00835D0D" w:rsidP="00833659">
            <w:pPr>
              <w:jc w:val="center"/>
              <w:rPr>
                <w:rFonts w:asciiTheme="minorHAnsi" w:eastAsiaTheme="minorHAnsi" w:hAnsiTheme="minorHAnsi"/>
                <w:sz w:val="22"/>
                <w:szCs w:val="22"/>
              </w:rPr>
            </w:pPr>
          </w:p>
          <w:p w14:paraId="25A3C292" w14:textId="77777777" w:rsidR="00835D0D" w:rsidRPr="00833659" w:rsidRDefault="00835D0D" w:rsidP="00833659">
            <w:pPr>
              <w:jc w:val="center"/>
              <w:rPr>
                <w:rFonts w:asciiTheme="minorHAnsi" w:eastAsiaTheme="minorHAnsi" w:hAnsiTheme="minorHAnsi"/>
                <w:sz w:val="22"/>
                <w:szCs w:val="22"/>
              </w:rPr>
            </w:pPr>
          </w:p>
        </w:tc>
        <w:tc>
          <w:tcPr>
            <w:tcW w:w="1008" w:type="dxa"/>
          </w:tcPr>
          <w:p w14:paraId="166C2B84"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2.5</w:t>
            </w:r>
          </w:p>
        </w:tc>
      </w:tr>
      <w:tr w:rsidR="00835D0D" w:rsidRPr="00833659" w14:paraId="6574C6FB" w14:textId="77777777" w:rsidTr="002A40B7">
        <w:tc>
          <w:tcPr>
            <w:tcW w:w="7218" w:type="dxa"/>
          </w:tcPr>
          <w:p w14:paraId="54517A33"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4B-1. Based on the CoC's FY 2015 new and renewal project applications,</w:t>
            </w:r>
          </w:p>
          <w:p w14:paraId="54C9E2A6"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what percentage of Permanent Housing (PSH and RRH), Transitional Housing (TH) and SSO (non-Coordinated Entry) projects in the CoC are low barrier? Meaning that they do not screen out potential participants based on those clients possessing a) too little or little income, b) active or history of substance use, c) criminal record, with exceptions for state mandated restrictions, and d) history of domestic violence.</w:t>
            </w:r>
          </w:p>
        </w:tc>
        <w:tc>
          <w:tcPr>
            <w:tcW w:w="1350" w:type="dxa"/>
          </w:tcPr>
          <w:p w14:paraId="67FA8379" w14:textId="756659C4"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1008" w:type="dxa"/>
          </w:tcPr>
          <w:p w14:paraId="1092A947"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6</w:t>
            </w:r>
          </w:p>
        </w:tc>
      </w:tr>
      <w:tr w:rsidR="00835D0D" w:rsidRPr="00833659" w14:paraId="2630C0FC" w14:textId="77777777" w:rsidTr="002A40B7">
        <w:tc>
          <w:tcPr>
            <w:tcW w:w="7218" w:type="dxa"/>
          </w:tcPr>
          <w:p w14:paraId="4C02823F"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4B-2. What percentage of CoC Program-funded Permanent Supportive</w:t>
            </w:r>
          </w:p>
          <w:p w14:paraId="174B766B"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Housing (PSH), RRH, SSO (non-Coordinated Entry) and Transitional Housing (TH) FY 2015 Projects have adopted a Housing First approach, meaning that the project quickly houses clients without preconditions or service participation requirements?</w:t>
            </w:r>
          </w:p>
        </w:tc>
        <w:tc>
          <w:tcPr>
            <w:tcW w:w="1350" w:type="dxa"/>
          </w:tcPr>
          <w:p w14:paraId="71B64C80" w14:textId="6FF5C5B3"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6</w:t>
            </w:r>
          </w:p>
          <w:p w14:paraId="79A1D111" w14:textId="77777777" w:rsidR="00835D0D" w:rsidRPr="00833659" w:rsidRDefault="00835D0D" w:rsidP="00833659">
            <w:pPr>
              <w:jc w:val="center"/>
              <w:rPr>
                <w:rFonts w:asciiTheme="minorHAnsi" w:eastAsiaTheme="minorHAnsi" w:hAnsiTheme="minorHAnsi"/>
                <w:sz w:val="22"/>
                <w:szCs w:val="22"/>
              </w:rPr>
            </w:pPr>
          </w:p>
        </w:tc>
        <w:tc>
          <w:tcPr>
            <w:tcW w:w="1008" w:type="dxa"/>
          </w:tcPr>
          <w:p w14:paraId="4FDE8212"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6</w:t>
            </w:r>
          </w:p>
        </w:tc>
      </w:tr>
      <w:tr w:rsidR="00835D0D" w:rsidRPr="00833659" w14:paraId="263FBFE7" w14:textId="77777777" w:rsidTr="002A40B7">
        <w:tc>
          <w:tcPr>
            <w:tcW w:w="7218" w:type="dxa"/>
          </w:tcPr>
          <w:p w14:paraId="37685239" w14:textId="77777777" w:rsidR="00835D0D" w:rsidRPr="00833659" w:rsidRDefault="00835D0D" w:rsidP="00C11BF7">
            <w:pPr>
              <w:rPr>
                <w:rFonts w:asciiTheme="minorHAnsi" w:eastAsiaTheme="minorHAnsi" w:hAnsiTheme="minorHAnsi"/>
                <w:sz w:val="22"/>
                <w:szCs w:val="22"/>
              </w:rPr>
            </w:pPr>
            <w:r w:rsidRPr="00297704">
              <w:rPr>
                <w:rFonts w:asciiTheme="minorHAnsi" w:hAnsiTheme="minorHAnsi" w:cstheme="minorHAnsi"/>
                <w:i/>
                <w:iCs/>
              </w:rPr>
              <w:t xml:space="preserve">This question assessed whether a CoC used objective criteria and past performance to review and rank projects. To receive full points, CoCs would have had to use performance-based criteria to at least partially evaluate and rank projects. Examples of performance criteria include reducing the length of time people experienced homelessness and the degree to which people exited programs for permanent housing destinations. </w:t>
            </w:r>
            <w:r>
              <w:rPr>
                <w:rFonts w:asciiTheme="minorHAnsi" w:hAnsiTheme="minorHAnsi" w:cstheme="minorHAnsi"/>
                <w:i/>
                <w:iCs/>
              </w:rPr>
              <w:br/>
            </w:r>
            <w:r w:rsidRPr="00833659">
              <w:rPr>
                <w:rFonts w:asciiTheme="minorHAnsi" w:eastAsiaTheme="minorHAnsi" w:hAnsiTheme="minorHAnsi"/>
                <w:sz w:val="22"/>
                <w:szCs w:val="22"/>
              </w:rPr>
              <w:t>1F-2.</w:t>
            </w:r>
            <w:r>
              <w:rPr>
                <w:i/>
                <w:iCs/>
              </w:rPr>
              <w:t xml:space="preserve"> </w:t>
            </w:r>
            <w:r w:rsidRPr="00833659">
              <w:rPr>
                <w:rFonts w:asciiTheme="minorHAnsi" w:eastAsiaTheme="minorHAnsi" w:hAnsiTheme="minorHAnsi"/>
                <w:sz w:val="22"/>
                <w:szCs w:val="22"/>
              </w:rPr>
              <w:t>In the sections below, check the appropriate box(s) for each section to indicate how project applications were reviewed and ranked for the FY 2015 CoC Program Competition. (Written documentation of the CoC's publicly announced Rating and Review procedure must be attached.)</w:t>
            </w:r>
            <w:r>
              <w:rPr>
                <w:rFonts w:asciiTheme="minorHAnsi" w:eastAsiaTheme="minorHAnsi" w:hAnsiTheme="minorHAnsi"/>
                <w:sz w:val="22"/>
                <w:szCs w:val="22"/>
              </w:rPr>
              <w:t xml:space="preserve">  </w:t>
            </w:r>
          </w:p>
        </w:tc>
        <w:tc>
          <w:tcPr>
            <w:tcW w:w="1350" w:type="dxa"/>
          </w:tcPr>
          <w:p w14:paraId="509954E5" w14:textId="18506084"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13</w:t>
            </w:r>
          </w:p>
          <w:p w14:paraId="255AB853" w14:textId="77777777" w:rsidR="00835D0D" w:rsidRPr="00833659" w:rsidRDefault="00835D0D" w:rsidP="00833659">
            <w:pPr>
              <w:jc w:val="center"/>
              <w:rPr>
                <w:rFonts w:asciiTheme="minorHAnsi" w:eastAsiaTheme="minorHAnsi" w:hAnsiTheme="minorHAnsi"/>
                <w:sz w:val="22"/>
                <w:szCs w:val="22"/>
              </w:rPr>
            </w:pPr>
          </w:p>
          <w:p w14:paraId="245E078B" w14:textId="77777777" w:rsidR="00835D0D" w:rsidRPr="00833659" w:rsidRDefault="00835D0D" w:rsidP="00833659">
            <w:pPr>
              <w:jc w:val="center"/>
              <w:rPr>
                <w:rFonts w:asciiTheme="minorHAnsi" w:eastAsiaTheme="minorHAnsi" w:hAnsiTheme="minorHAnsi"/>
                <w:sz w:val="22"/>
                <w:szCs w:val="22"/>
              </w:rPr>
            </w:pPr>
          </w:p>
        </w:tc>
        <w:tc>
          <w:tcPr>
            <w:tcW w:w="1008" w:type="dxa"/>
          </w:tcPr>
          <w:p w14:paraId="46542C99"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10</w:t>
            </w:r>
          </w:p>
        </w:tc>
      </w:tr>
      <w:tr w:rsidR="00835D0D" w:rsidRPr="00833659" w14:paraId="6B15BB51" w14:textId="77777777" w:rsidTr="002A40B7">
        <w:tc>
          <w:tcPr>
            <w:tcW w:w="7218" w:type="dxa"/>
          </w:tcPr>
          <w:p w14:paraId="76B1BDFB"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1F-2a. Describe how the CoC considered the severity of needs and vulnerabilities of participants that are, or will be, served by the project applications when determining project application priority.</w:t>
            </w:r>
          </w:p>
        </w:tc>
        <w:tc>
          <w:tcPr>
            <w:tcW w:w="1350" w:type="dxa"/>
          </w:tcPr>
          <w:p w14:paraId="6D19B354" w14:textId="24AEE2C5"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3</w:t>
            </w:r>
          </w:p>
        </w:tc>
        <w:tc>
          <w:tcPr>
            <w:tcW w:w="1008" w:type="dxa"/>
          </w:tcPr>
          <w:p w14:paraId="0E018346"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3</w:t>
            </w:r>
          </w:p>
        </w:tc>
      </w:tr>
      <w:tr w:rsidR="00835D0D" w:rsidRPr="00833659" w14:paraId="568E8290" w14:textId="77777777" w:rsidTr="002A40B7">
        <w:tc>
          <w:tcPr>
            <w:tcW w:w="7218" w:type="dxa"/>
          </w:tcPr>
          <w:p w14:paraId="3BBFF6AE"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lastRenderedPageBreak/>
              <w:t>3A-3. Performance Measure: Length of Time Homeless.  Describe the CoC’s efforts to reduce the length of time individuals and families remain homeless. Specifically, describe how your CoC has reduced the average length of time homeless, including how the CoC identifies and houses individuals and families with the longest lengths of time homeless.</w:t>
            </w:r>
          </w:p>
        </w:tc>
        <w:tc>
          <w:tcPr>
            <w:tcW w:w="1350" w:type="dxa"/>
          </w:tcPr>
          <w:p w14:paraId="048A58E6" w14:textId="3705E015"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1008" w:type="dxa"/>
          </w:tcPr>
          <w:p w14:paraId="4A811EFC"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6</w:t>
            </w:r>
          </w:p>
        </w:tc>
      </w:tr>
      <w:tr w:rsidR="00835D0D" w:rsidRPr="00833659" w14:paraId="47090B37" w14:textId="77777777" w:rsidTr="002A40B7">
        <w:tc>
          <w:tcPr>
            <w:tcW w:w="7218" w:type="dxa"/>
          </w:tcPr>
          <w:p w14:paraId="3433A00F"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3A-5. Performance Measure: Returns to Homelessness.  Describe the CoC’s efforts to reduce the rate of individuals and families who return to homelessness. Specifically, describe at least three strategies your CoC has implemented to identify and minimize returns to homelessness, and demonstrate the use of HMIS or a comparable database to monitor and record returns to homelessness.</w:t>
            </w:r>
          </w:p>
        </w:tc>
        <w:tc>
          <w:tcPr>
            <w:tcW w:w="1350" w:type="dxa"/>
          </w:tcPr>
          <w:p w14:paraId="3B903FCF" w14:textId="77777777" w:rsidR="00835D0D" w:rsidRPr="00833659" w:rsidRDefault="00835D0D" w:rsidP="00833659">
            <w:pPr>
              <w:jc w:val="center"/>
              <w:rPr>
                <w:rFonts w:asciiTheme="minorHAnsi" w:eastAsiaTheme="minorHAnsi" w:hAnsiTheme="minorHAnsi"/>
                <w:sz w:val="22"/>
                <w:szCs w:val="22"/>
              </w:rPr>
            </w:pPr>
            <w:r>
              <w:rPr>
                <w:rFonts w:asciiTheme="minorHAnsi" w:eastAsiaTheme="minorHAnsi" w:hAnsiTheme="minorHAnsi"/>
                <w:sz w:val="22"/>
                <w:szCs w:val="22"/>
              </w:rPr>
              <w:t>5</w:t>
            </w:r>
          </w:p>
          <w:p w14:paraId="27ECB24E" w14:textId="77777777" w:rsidR="00835D0D" w:rsidRPr="00833659" w:rsidRDefault="00835D0D" w:rsidP="00833659">
            <w:pPr>
              <w:jc w:val="center"/>
              <w:rPr>
                <w:rFonts w:asciiTheme="minorHAnsi" w:eastAsiaTheme="minorHAnsi" w:hAnsiTheme="minorHAnsi"/>
                <w:sz w:val="22"/>
                <w:szCs w:val="22"/>
              </w:rPr>
            </w:pPr>
          </w:p>
          <w:p w14:paraId="3E812677" w14:textId="77777777" w:rsidR="00835D0D" w:rsidRPr="00833659" w:rsidRDefault="00835D0D" w:rsidP="00833659">
            <w:pPr>
              <w:jc w:val="center"/>
              <w:rPr>
                <w:rFonts w:asciiTheme="minorHAnsi" w:eastAsiaTheme="minorHAnsi" w:hAnsiTheme="minorHAnsi"/>
                <w:sz w:val="22"/>
                <w:szCs w:val="22"/>
              </w:rPr>
            </w:pPr>
          </w:p>
        </w:tc>
        <w:tc>
          <w:tcPr>
            <w:tcW w:w="1008" w:type="dxa"/>
          </w:tcPr>
          <w:p w14:paraId="7BAD6BAF"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5</w:t>
            </w:r>
          </w:p>
        </w:tc>
      </w:tr>
      <w:tr w:rsidR="00835D0D" w:rsidRPr="00833659" w14:paraId="7E5BCD88" w14:textId="77777777" w:rsidTr="002A40B7">
        <w:tc>
          <w:tcPr>
            <w:tcW w:w="7218" w:type="dxa"/>
          </w:tcPr>
          <w:p w14:paraId="41001386"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3B-1.4. Did the CoC adopt the orders of priority in all CoC Program-funded PSH as described in Notice CPD-14-012: Prioritizing Persons Experiencing Chronic Homelessness in Permanent Supportive Housing and Recordkeeping Requirements for Documenting Chronic Homeless Status?</w:t>
            </w:r>
          </w:p>
        </w:tc>
        <w:tc>
          <w:tcPr>
            <w:tcW w:w="1350" w:type="dxa"/>
          </w:tcPr>
          <w:p w14:paraId="1C534E92" w14:textId="536BA690" w:rsidR="00835D0D"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6</w:t>
            </w:r>
          </w:p>
          <w:p w14:paraId="42F9F4C8" w14:textId="77777777" w:rsidR="00835D0D" w:rsidRPr="00833659" w:rsidRDefault="00835D0D" w:rsidP="00833659">
            <w:pPr>
              <w:jc w:val="center"/>
              <w:rPr>
                <w:rFonts w:asciiTheme="minorHAnsi" w:eastAsiaTheme="minorHAnsi" w:hAnsiTheme="minorHAnsi"/>
                <w:sz w:val="22"/>
                <w:szCs w:val="22"/>
              </w:rPr>
            </w:pPr>
          </w:p>
        </w:tc>
        <w:tc>
          <w:tcPr>
            <w:tcW w:w="1008" w:type="dxa"/>
          </w:tcPr>
          <w:p w14:paraId="0A3069E9"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3</w:t>
            </w:r>
          </w:p>
        </w:tc>
      </w:tr>
      <w:tr w:rsidR="00835D0D" w:rsidRPr="00833659" w14:paraId="1916E72B" w14:textId="77777777" w:rsidTr="002A40B7">
        <w:tc>
          <w:tcPr>
            <w:tcW w:w="7218" w:type="dxa"/>
          </w:tcPr>
          <w:p w14:paraId="22E8DBF6"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3B-1.5. CoC Program funded Permanent Supportive Housing Project Beds</w:t>
            </w:r>
          </w:p>
          <w:p w14:paraId="5A4B2217"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prioritized for serving people experiencing chronic homelessness in</w:t>
            </w:r>
          </w:p>
          <w:p w14:paraId="0F67AF44"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FY2015 operating year.</w:t>
            </w:r>
          </w:p>
        </w:tc>
        <w:tc>
          <w:tcPr>
            <w:tcW w:w="1350" w:type="dxa"/>
          </w:tcPr>
          <w:p w14:paraId="0C7F00E8" w14:textId="6769056A"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1008" w:type="dxa"/>
          </w:tcPr>
          <w:p w14:paraId="7F52731C"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3</w:t>
            </w:r>
          </w:p>
        </w:tc>
      </w:tr>
      <w:tr w:rsidR="00835D0D" w:rsidRPr="00833659" w14:paraId="1CF1D09E" w14:textId="77777777" w:rsidTr="002A40B7">
        <w:tc>
          <w:tcPr>
            <w:tcW w:w="7218" w:type="dxa"/>
          </w:tcPr>
          <w:p w14:paraId="1EAF28FA" w14:textId="77777777" w:rsidR="00835D0D" w:rsidRPr="00833659" w:rsidRDefault="00835D0D" w:rsidP="00833659">
            <w:pPr>
              <w:rPr>
                <w:rFonts w:asciiTheme="minorHAnsi" w:eastAsiaTheme="minorHAnsi" w:hAnsiTheme="minorHAnsi"/>
                <w:sz w:val="22"/>
                <w:szCs w:val="22"/>
              </w:rPr>
            </w:pPr>
            <w:r w:rsidRPr="00833659">
              <w:rPr>
                <w:rFonts w:asciiTheme="minorHAnsi" w:eastAsiaTheme="minorHAnsi" w:hAnsiTheme="minorHAnsi"/>
                <w:sz w:val="22"/>
                <w:szCs w:val="22"/>
              </w:rPr>
              <w:t>3B-2.8. Using HMIS, compare all unaccompanied youth (under age 18, and ages 18-24) served in any HMIS contributing program who were in an unsheltered situation prior to entry in FY 2013 (October 1, 2012 - September 30, 2013) and FY 2014 (October 1, 2013 - September 30, 2014).</w:t>
            </w:r>
          </w:p>
        </w:tc>
        <w:tc>
          <w:tcPr>
            <w:tcW w:w="1350" w:type="dxa"/>
          </w:tcPr>
          <w:p w14:paraId="2F22F934" w14:textId="1D6AE8CA" w:rsidR="00835D0D" w:rsidRPr="00833659" w:rsidRDefault="00D0264F" w:rsidP="00833659">
            <w:pPr>
              <w:jc w:val="center"/>
              <w:rPr>
                <w:rFonts w:asciiTheme="minorHAnsi" w:eastAsiaTheme="minorHAnsi" w:hAnsiTheme="minorHAnsi"/>
                <w:sz w:val="22"/>
                <w:szCs w:val="22"/>
              </w:rPr>
            </w:pPr>
            <w:r>
              <w:rPr>
                <w:rFonts w:asciiTheme="minorHAnsi" w:eastAsiaTheme="minorHAnsi" w:hAnsiTheme="minorHAnsi"/>
                <w:sz w:val="22"/>
                <w:szCs w:val="22"/>
              </w:rPr>
              <w:t>5</w:t>
            </w:r>
          </w:p>
        </w:tc>
        <w:tc>
          <w:tcPr>
            <w:tcW w:w="1008" w:type="dxa"/>
          </w:tcPr>
          <w:p w14:paraId="6BBF1768" w14:textId="77777777" w:rsidR="00835D0D" w:rsidRPr="00833659" w:rsidRDefault="00835D0D" w:rsidP="002A0EA2">
            <w:pPr>
              <w:jc w:val="center"/>
              <w:rPr>
                <w:rFonts w:asciiTheme="minorHAnsi" w:eastAsiaTheme="minorHAnsi" w:hAnsiTheme="minorHAnsi"/>
                <w:sz w:val="22"/>
                <w:szCs w:val="22"/>
              </w:rPr>
            </w:pPr>
            <w:r w:rsidRPr="00352602">
              <w:rPr>
                <w:rFonts w:asciiTheme="minorHAnsi" w:eastAsiaTheme="minorHAnsi" w:hAnsiTheme="minorHAnsi"/>
                <w:noProof/>
                <w:sz w:val="22"/>
                <w:szCs w:val="22"/>
              </w:rPr>
              <w:t>5</w:t>
            </w:r>
          </w:p>
        </w:tc>
      </w:tr>
    </w:tbl>
    <w:p w14:paraId="03DCFD2B" w14:textId="77777777" w:rsidR="00835D0D" w:rsidRPr="00833659" w:rsidRDefault="00835D0D" w:rsidP="00833659">
      <w:pPr>
        <w:spacing w:after="200" w:line="276" w:lineRule="auto"/>
        <w:rPr>
          <w:rFonts w:asciiTheme="minorHAnsi" w:eastAsiaTheme="minorHAnsi" w:hAnsiTheme="minorHAnsi" w:cstheme="minorBidi"/>
          <w:sz w:val="22"/>
          <w:szCs w:val="22"/>
        </w:rPr>
      </w:pPr>
    </w:p>
    <w:p w14:paraId="4FE8FDD6" w14:textId="77777777" w:rsidR="00835D0D" w:rsidRDefault="00835D0D" w:rsidP="00833659">
      <w:pPr>
        <w:spacing w:after="120"/>
        <w:ind w:left="720"/>
        <w:rPr>
          <w:b/>
          <w:u w:val="single"/>
        </w:rPr>
        <w:sectPr w:rsidR="00835D0D" w:rsidSect="00835D0D">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pPr>
    </w:p>
    <w:p w14:paraId="385EE2D2" w14:textId="77777777" w:rsidR="00835D0D" w:rsidRPr="00DA0F8F" w:rsidRDefault="00835D0D" w:rsidP="00833659">
      <w:pPr>
        <w:spacing w:after="120"/>
        <w:ind w:left="720"/>
        <w:rPr>
          <w:b/>
          <w:u w:val="single"/>
        </w:rPr>
      </w:pPr>
    </w:p>
    <w:sectPr w:rsidR="00835D0D" w:rsidRPr="00DA0F8F" w:rsidSect="00835D0D">
      <w:headerReference w:type="default" r:id="rId11"/>
      <w:footerReference w:type="default" r:id="rId12"/>
      <w:head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BA299" w14:textId="77777777" w:rsidR="008A68C2" w:rsidRDefault="008A68C2" w:rsidP="004466B1">
      <w:r>
        <w:separator/>
      </w:r>
    </w:p>
  </w:endnote>
  <w:endnote w:type="continuationSeparator" w:id="0">
    <w:p w14:paraId="32A826F2" w14:textId="77777777" w:rsidR="008A68C2" w:rsidRDefault="008A68C2" w:rsidP="0044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auto"/>
    <w:pitch w:val="variable"/>
    <w:sig w:usb0="A00002EF" w:usb1="4000204B"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32650" w14:textId="7EDB3B23" w:rsidR="00835D0D" w:rsidRDefault="00835D0D">
    <w:pPr>
      <w:pStyle w:val="Footer"/>
      <w:jc w:val="right"/>
    </w:pPr>
    <w:r>
      <w:t xml:space="preserve">Page | </w:t>
    </w:r>
    <w:r>
      <w:fldChar w:fldCharType="begin"/>
    </w:r>
    <w:r>
      <w:instrText xml:space="preserve"> PAGE   \* MERGEFORMAT </w:instrText>
    </w:r>
    <w:r>
      <w:fldChar w:fldCharType="separate"/>
    </w:r>
    <w:r w:rsidR="003E27DF">
      <w:rPr>
        <w:noProof/>
      </w:rPr>
      <w:t>1</w:t>
    </w:r>
    <w:r>
      <w:fldChar w:fldCharType="end"/>
    </w:r>
    <w:r>
      <w:t xml:space="preserve"> </w:t>
    </w:r>
  </w:p>
  <w:p w14:paraId="6F01A07A" w14:textId="77777777" w:rsidR="00835D0D" w:rsidRDefault="00835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CB302" w14:textId="77777777" w:rsidR="00A9278C" w:rsidRDefault="00A9278C">
    <w:pPr>
      <w:pStyle w:val="Footer"/>
      <w:jc w:val="right"/>
    </w:pPr>
    <w:r>
      <w:t xml:space="preserve">Page | </w:t>
    </w:r>
    <w:r>
      <w:fldChar w:fldCharType="begin"/>
    </w:r>
    <w:r>
      <w:instrText xml:space="preserve"> PAGE   \* MERGEFORMAT </w:instrText>
    </w:r>
    <w:r>
      <w:fldChar w:fldCharType="separate"/>
    </w:r>
    <w:r w:rsidR="00835D0D">
      <w:rPr>
        <w:noProof/>
      </w:rPr>
      <w:t>1</w:t>
    </w:r>
    <w:r>
      <w:fldChar w:fldCharType="end"/>
    </w:r>
    <w:r>
      <w:t xml:space="preserve"> </w:t>
    </w:r>
  </w:p>
  <w:p w14:paraId="21FC0D6C" w14:textId="77777777" w:rsidR="00A9278C" w:rsidRDefault="00A92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9C8C2" w14:textId="77777777" w:rsidR="008A68C2" w:rsidRDefault="008A68C2" w:rsidP="004466B1">
      <w:r>
        <w:separator/>
      </w:r>
    </w:p>
  </w:footnote>
  <w:footnote w:type="continuationSeparator" w:id="0">
    <w:p w14:paraId="32E65052" w14:textId="77777777" w:rsidR="008A68C2" w:rsidRDefault="008A68C2" w:rsidP="0044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038"/>
      <w:gridCol w:w="2322"/>
    </w:tblGrid>
    <w:tr w:rsidR="00835D0D" w14:paraId="4E54DDD3" w14:textId="77777777" w:rsidTr="00967CC9">
      <w:trPr>
        <w:trHeight w:val="288"/>
      </w:trPr>
      <w:tc>
        <w:tcPr>
          <w:tcW w:w="7225" w:type="dxa"/>
        </w:tcPr>
        <w:p w14:paraId="6BCA363C" w14:textId="77777777" w:rsidR="00835D0D" w:rsidRDefault="00835D0D" w:rsidP="00D15FCD">
          <w:pPr>
            <w:pStyle w:val="Header"/>
            <w:jc w:val="right"/>
            <w:rPr>
              <w:rFonts w:eastAsia="Calibri"/>
              <w:b/>
              <w:bCs/>
              <w:sz w:val="28"/>
              <w:szCs w:val="28"/>
            </w:rPr>
          </w:pPr>
          <w:r>
            <w:rPr>
              <w:rFonts w:eastAsia="Calibri"/>
              <w:b/>
              <w:bCs/>
              <w:sz w:val="28"/>
              <w:szCs w:val="28"/>
            </w:rPr>
            <w:t xml:space="preserve">                                </w:t>
          </w:r>
          <w:r w:rsidRPr="00B23E26">
            <w:rPr>
              <w:rFonts w:eastAsia="Calibri"/>
              <w:b/>
              <w:bCs/>
              <w:sz w:val="28"/>
              <w:szCs w:val="28"/>
            </w:rPr>
            <w:t>C</w:t>
          </w:r>
          <w:r>
            <w:rPr>
              <w:rFonts w:eastAsia="Calibri"/>
              <w:b/>
              <w:bCs/>
              <w:sz w:val="28"/>
              <w:szCs w:val="28"/>
            </w:rPr>
            <w:t>ontinuum of Care Program</w:t>
          </w:r>
        </w:p>
        <w:p w14:paraId="478F99FA" w14:textId="77777777" w:rsidR="00835D0D" w:rsidRDefault="00835D0D" w:rsidP="00D15FCD">
          <w:pPr>
            <w:pStyle w:val="Header"/>
            <w:jc w:val="right"/>
            <w:rPr>
              <w:rFonts w:ascii="Cambria" w:hAnsi="Cambria"/>
              <w:sz w:val="36"/>
              <w:szCs w:val="36"/>
            </w:rPr>
          </w:pPr>
          <w:r>
            <w:rPr>
              <w:rFonts w:eastAsia="Calibri"/>
              <w:b/>
              <w:bCs/>
              <w:sz w:val="28"/>
              <w:szCs w:val="28"/>
            </w:rPr>
            <w:t xml:space="preserve"> Competition</w:t>
          </w:r>
          <w:r w:rsidRPr="00B23E26">
            <w:rPr>
              <w:rFonts w:eastAsia="Calibri"/>
              <w:b/>
              <w:bCs/>
              <w:sz w:val="28"/>
              <w:szCs w:val="28"/>
            </w:rPr>
            <w:t xml:space="preserve"> D</w:t>
          </w:r>
          <w:r>
            <w:rPr>
              <w:rFonts w:eastAsia="Calibri"/>
              <w:b/>
              <w:bCs/>
              <w:sz w:val="28"/>
              <w:szCs w:val="28"/>
            </w:rPr>
            <w:t>ebriefing</w:t>
          </w:r>
        </w:p>
      </w:tc>
      <w:tc>
        <w:tcPr>
          <w:tcW w:w="2365" w:type="dxa"/>
        </w:tcPr>
        <w:p w14:paraId="6B12E129" w14:textId="77777777" w:rsidR="00835D0D" w:rsidRPr="00563048" w:rsidRDefault="00835D0D" w:rsidP="00C204A3">
          <w:pPr>
            <w:pStyle w:val="Header"/>
            <w:rPr>
              <w:rFonts w:ascii="Cambria" w:hAnsi="Cambria"/>
              <w:b/>
              <w:bCs/>
              <w:sz w:val="36"/>
              <w:szCs w:val="36"/>
            </w:rPr>
          </w:pPr>
          <w:r>
            <w:rPr>
              <w:rFonts w:ascii="Cambria" w:hAnsi="Cambria"/>
              <w:b/>
              <w:bCs/>
              <w:sz w:val="36"/>
              <w:szCs w:val="36"/>
            </w:rPr>
            <w:t>FY 2015</w:t>
          </w:r>
        </w:p>
      </w:tc>
    </w:tr>
  </w:tbl>
  <w:p w14:paraId="28CED247" w14:textId="77777777" w:rsidR="00835D0D" w:rsidRDefault="00835D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555"/>
      <w:gridCol w:w="8035"/>
    </w:tblGrid>
    <w:tr w:rsidR="00835D0D" w14:paraId="41D3610F" w14:textId="77777777" w:rsidTr="00690C44">
      <w:trPr>
        <w:trHeight w:val="288"/>
      </w:trPr>
      <w:tc>
        <w:tcPr>
          <w:tcW w:w="1555" w:type="dxa"/>
        </w:tcPr>
        <w:p w14:paraId="55FC29C5" w14:textId="77777777" w:rsidR="00835D0D" w:rsidRDefault="00835D0D" w:rsidP="00690C44">
          <w:pPr>
            <w:pStyle w:val="Header"/>
            <w:jc w:val="right"/>
            <w:rPr>
              <w:rFonts w:ascii="Cambria" w:hAnsi="Cambria"/>
              <w:sz w:val="36"/>
              <w:szCs w:val="36"/>
            </w:rPr>
          </w:pPr>
          <w:r>
            <w:rPr>
              <w:rFonts w:eastAsia="Calibri"/>
              <w:b/>
              <w:bCs/>
              <w:noProof/>
              <w:sz w:val="28"/>
              <w:szCs w:val="28"/>
            </w:rPr>
            <w:drawing>
              <wp:inline distT="0" distB="0" distL="0" distR="0" wp14:anchorId="0346EA8C" wp14:editId="52A0BBB9">
                <wp:extent cx="797560" cy="797560"/>
                <wp:effectExtent l="0" t="0" r="2540" b="2540"/>
                <wp:docPr id="9" name="Picture 9"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Pr>
              <w:rFonts w:eastAsia="Calibri"/>
              <w:b/>
              <w:bCs/>
              <w:sz w:val="28"/>
              <w:szCs w:val="28"/>
            </w:rPr>
            <w:t xml:space="preserve">                                </w:t>
          </w:r>
        </w:p>
      </w:tc>
      <w:tc>
        <w:tcPr>
          <w:tcW w:w="8035" w:type="dxa"/>
        </w:tcPr>
        <w:p w14:paraId="45DB5005" w14:textId="77777777" w:rsidR="00835D0D" w:rsidRDefault="00835D0D" w:rsidP="00690C44">
          <w:pPr>
            <w:pStyle w:val="Header"/>
            <w:jc w:val="right"/>
            <w:rPr>
              <w:rFonts w:ascii="Cambria" w:hAnsi="Cambria"/>
              <w:b/>
              <w:bCs/>
              <w:sz w:val="36"/>
              <w:szCs w:val="36"/>
            </w:rPr>
          </w:pPr>
        </w:p>
        <w:p w14:paraId="0999A769" w14:textId="77777777" w:rsidR="00835D0D" w:rsidRDefault="00835D0D" w:rsidP="00690C44">
          <w:pPr>
            <w:pStyle w:val="Header"/>
            <w:jc w:val="right"/>
            <w:rPr>
              <w:rFonts w:ascii="Cambria" w:hAnsi="Cambria"/>
              <w:b/>
              <w:bCs/>
              <w:sz w:val="36"/>
              <w:szCs w:val="36"/>
            </w:rPr>
          </w:pPr>
        </w:p>
        <w:p w14:paraId="66B82795" w14:textId="77777777" w:rsidR="00835D0D" w:rsidRPr="00563048" w:rsidRDefault="00835D0D" w:rsidP="00690C44">
          <w:pPr>
            <w:pStyle w:val="Header"/>
            <w:jc w:val="right"/>
            <w:rPr>
              <w:rFonts w:ascii="Cambria" w:hAnsi="Cambria"/>
              <w:b/>
              <w:bCs/>
              <w:sz w:val="36"/>
              <w:szCs w:val="36"/>
            </w:rPr>
          </w:pPr>
          <w:r>
            <w:rPr>
              <w:rFonts w:ascii="Cambria" w:hAnsi="Cambria"/>
              <w:b/>
              <w:bCs/>
              <w:sz w:val="36"/>
              <w:szCs w:val="36"/>
            </w:rPr>
            <w:t>FY 2015</w:t>
          </w:r>
          <w:r w:rsidRPr="00B23E26">
            <w:rPr>
              <w:rFonts w:eastAsia="Calibri"/>
              <w:b/>
              <w:bCs/>
              <w:sz w:val="28"/>
              <w:szCs w:val="28"/>
            </w:rPr>
            <w:t xml:space="preserve"> C</w:t>
          </w:r>
          <w:r>
            <w:rPr>
              <w:rFonts w:eastAsia="Calibri"/>
              <w:b/>
              <w:bCs/>
              <w:sz w:val="28"/>
              <w:szCs w:val="28"/>
            </w:rPr>
            <w:t>ontinuum of Care Program Competition</w:t>
          </w:r>
          <w:r w:rsidRPr="00B23E26">
            <w:rPr>
              <w:rFonts w:eastAsia="Calibri"/>
              <w:b/>
              <w:bCs/>
              <w:sz w:val="28"/>
              <w:szCs w:val="28"/>
            </w:rPr>
            <w:t xml:space="preserve"> D</w:t>
          </w:r>
          <w:r>
            <w:rPr>
              <w:rFonts w:eastAsia="Calibri"/>
              <w:b/>
              <w:bCs/>
              <w:sz w:val="28"/>
              <w:szCs w:val="28"/>
            </w:rPr>
            <w:t>ebriefing</w:t>
          </w:r>
        </w:p>
      </w:tc>
    </w:tr>
  </w:tbl>
  <w:p w14:paraId="653F65CC" w14:textId="77777777" w:rsidR="00835D0D" w:rsidRDefault="00835D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5"/>
      <w:gridCol w:w="2365"/>
    </w:tblGrid>
    <w:tr w:rsidR="00A9278C" w14:paraId="17594926" w14:textId="77777777" w:rsidTr="00967CC9">
      <w:trPr>
        <w:trHeight w:val="288"/>
      </w:trPr>
      <w:tc>
        <w:tcPr>
          <w:tcW w:w="7225" w:type="dxa"/>
        </w:tcPr>
        <w:p w14:paraId="15698E58" w14:textId="77777777" w:rsidR="00A9278C" w:rsidRDefault="00A9278C" w:rsidP="00D15FCD">
          <w:pPr>
            <w:pStyle w:val="Header"/>
            <w:jc w:val="right"/>
            <w:rPr>
              <w:rFonts w:eastAsia="Calibri"/>
              <w:b/>
              <w:bCs/>
              <w:sz w:val="28"/>
              <w:szCs w:val="28"/>
            </w:rPr>
          </w:pPr>
          <w:r>
            <w:rPr>
              <w:rFonts w:eastAsia="Calibri"/>
              <w:b/>
              <w:bCs/>
              <w:sz w:val="28"/>
              <w:szCs w:val="28"/>
            </w:rPr>
            <w:t xml:space="preserve">                                </w:t>
          </w:r>
          <w:r w:rsidRPr="00B23E26">
            <w:rPr>
              <w:rFonts w:eastAsia="Calibri"/>
              <w:b/>
              <w:bCs/>
              <w:sz w:val="28"/>
              <w:szCs w:val="28"/>
            </w:rPr>
            <w:t>C</w:t>
          </w:r>
          <w:r>
            <w:rPr>
              <w:rFonts w:eastAsia="Calibri"/>
              <w:b/>
              <w:bCs/>
              <w:sz w:val="28"/>
              <w:szCs w:val="28"/>
            </w:rPr>
            <w:t>ontinuum of Care Program</w:t>
          </w:r>
        </w:p>
        <w:p w14:paraId="0D869506" w14:textId="77777777" w:rsidR="00A9278C" w:rsidRDefault="00A9278C" w:rsidP="00D15FCD">
          <w:pPr>
            <w:pStyle w:val="Header"/>
            <w:jc w:val="right"/>
            <w:rPr>
              <w:rFonts w:ascii="Cambria" w:hAnsi="Cambria"/>
              <w:sz w:val="36"/>
              <w:szCs w:val="36"/>
            </w:rPr>
          </w:pPr>
          <w:r>
            <w:rPr>
              <w:rFonts w:eastAsia="Calibri"/>
              <w:b/>
              <w:bCs/>
              <w:sz w:val="28"/>
              <w:szCs w:val="28"/>
            </w:rPr>
            <w:t xml:space="preserve"> Competition</w:t>
          </w:r>
          <w:r w:rsidRPr="00B23E26">
            <w:rPr>
              <w:rFonts w:eastAsia="Calibri"/>
              <w:b/>
              <w:bCs/>
              <w:sz w:val="28"/>
              <w:szCs w:val="28"/>
            </w:rPr>
            <w:t xml:space="preserve"> D</w:t>
          </w:r>
          <w:r>
            <w:rPr>
              <w:rFonts w:eastAsia="Calibri"/>
              <w:b/>
              <w:bCs/>
              <w:sz w:val="28"/>
              <w:szCs w:val="28"/>
            </w:rPr>
            <w:t>ebriefing</w:t>
          </w:r>
        </w:p>
      </w:tc>
      <w:tc>
        <w:tcPr>
          <w:tcW w:w="2365" w:type="dxa"/>
        </w:tcPr>
        <w:p w14:paraId="7F0FAC7E" w14:textId="77777777" w:rsidR="00A9278C" w:rsidRPr="00563048" w:rsidRDefault="00A9278C" w:rsidP="00C204A3">
          <w:pPr>
            <w:pStyle w:val="Header"/>
            <w:rPr>
              <w:rFonts w:ascii="Cambria" w:hAnsi="Cambria"/>
              <w:b/>
              <w:bCs/>
              <w:sz w:val="36"/>
              <w:szCs w:val="36"/>
            </w:rPr>
          </w:pPr>
          <w:r>
            <w:rPr>
              <w:rFonts w:ascii="Cambria" w:hAnsi="Cambria"/>
              <w:b/>
              <w:bCs/>
              <w:sz w:val="36"/>
              <w:szCs w:val="36"/>
            </w:rPr>
            <w:t>FY 2015</w:t>
          </w:r>
        </w:p>
      </w:tc>
    </w:tr>
  </w:tbl>
  <w:p w14:paraId="5757F585" w14:textId="77777777" w:rsidR="00A9278C" w:rsidRDefault="00A927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555"/>
      <w:gridCol w:w="8035"/>
    </w:tblGrid>
    <w:tr w:rsidR="00A9278C" w14:paraId="59084924" w14:textId="77777777" w:rsidTr="00690C44">
      <w:trPr>
        <w:trHeight w:val="288"/>
      </w:trPr>
      <w:tc>
        <w:tcPr>
          <w:tcW w:w="1555" w:type="dxa"/>
        </w:tcPr>
        <w:p w14:paraId="3AA7EDA1" w14:textId="77777777" w:rsidR="00A9278C" w:rsidRDefault="00A9278C" w:rsidP="00690C44">
          <w:pPr>
            <w:pStyle w:val="Header"/>
            <w:jc w:val="right"/>
            <w:rPr>
              <w:rFonts w:ascii="Cambria" w:hAnsi="Cambria"/>
              <w:sz w:val="36"/>
              <w:szCs w:val="36"/>
            </w:rPr>
          </w:pPr>
          <w:r>
            <w:rPr>
              <w:rFonts w:eastAsia="Calibri"/>
              <w:b/>
              <w:bCs/>
              <w:noProof/>
              <w:sz w:val="28"/>
              <w:szCs w:val="28"/>
            </w:rPr>
            <w:drawing>
              <wp:inline distT="0" distB="0" distL="0" distR="0" wp14:anchorId="7B4E9141" wp14:editId="102774C9">
                <wp:extent cx="797560" cy="797560"/>
                <wp:effectExtent l="0" t="0" r="2540" b="254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Pr>
              <w:rFonts w:eastAsia="Calibri"/>
              <w:b/>
              <w:bCs/>
              <w:sz w:val="28"/>
              <w:szCs w:val="28"/>
            </w:rPr>
            <w:t xml:space="preserve">                                </w:t>
          </w:r>
        </w:p>
      </w:tc>
      <w:tc>
        <w:tcPr>
          <w:tcW w:w="8035" w:type="dxa"/>
        </w:tcPr>
        <w:p w14:paraId="57540072" w14:textId="77777777" w:rsidR="00A9278C" w:rsidRDefault="00A9278C" w:rsidP="00690C44">
          <w:pPr>
            <w:pStyle w:val="Header"/>
            <w:jc w:val="right"/>
            <w:rPr>
              <w:rFonts w:ascii="Cambria" w:hAnsi="Cambria"/>
              <w:b/>
              <w:bCs/>
              <w:sz w:val="36"/>
              <w:szCs w:val="36"/>
            </w:rPr>
          </w:pPr>
        </w:p>
        <w:p w14:paraId="4CA1EFC7" w14:textId="77777777" w:rsidR="00A9278C" w:rsidRDefault="00A9278C" w:rsidP="00690C44">
          <w:pPr>
            <w:pStyle w:val="Header"/>
            <w:jc w:val="right"/>
            <w:rPr>
              <w:rFonts w:ascii="Cambria" w:hAnsi="Cambria"/>
              <w:b/>
              <w:bCs/>
              <w:sz w:val="36"/>
              <w:szCs w:val="36"/>
            </w:rPr>
          </w:pPr>
        </w:p>
        <w:p w14:paraId="7B788160" w14:textId="77777777" w:rsidR="00A9278C" w:rsidRPr="00563048" w:rsidRDefault="00A9278C" w:rsidP="00690C44">
          <w:pPr>
            <w:pStyle w:val="Header"/>
            <w:jc w:val="right"/>
            <w:rPr>
              <w:rFonts w:ascii="Cambria" w:hAnsi="Cambria"/>
              <w:b/>
              <w:bCs/>
              <w:sz w:val="36"/>
              <w:szCs w:val="36"/>
            </w:rPr>
          </w:pPr>
          <w:r>
            <w:rPr>
              <w:rFonts w:ascii="Cambria" w:hAnsi="Cambria"/>
              <w:b/>
              <w:bCs/>
              <w:sz w:val="36"/>
              <w:szCs w:val="36"/>
            </w:rPr>
            <w:t>FY 2015</w:t>
          </w:r>
          <w:r w:rsidRPr="00B23E26">
            <w:rPr>
              <w:rFonts w:eastAsia="Calibri"/>
              <w:b/>
              <w:bCs/>
              <w:sz w:val="28"/>
              <w:szCs w:val="28"/>
            </w:rPr>
            <w:t xml:space="preserve"> C</w:t>
          </w:r>
          <w:r>
            <w:rPr>
              <w:rFonts w:eastAsia="Calibri"/>
              <w:b/>
              <w:bCs/>
              <w:sz w:val="28"/>
              <w:szCs w:val="28"/>
            </w:rPr>
            <w:t>ontinuum of Care Program Competition</w:t>
          </w:r>
          <w:r w:rsidRPr="00B23E26">
            <w:rPr>
              <w:rFonts w:eastAsia="Calibri"/>
              <w:b/>
              <w:bCs/>
              <w:sz w:val="28"/>
              <w:szCs w:val="28"/>
            </w:rPr>
            <w:t xml:space="preserve"> D</w:t>
          </w:r>
          <w:r>
            <w:rPr>
              <w:rFonts w:eastAsia="Calibri"/>
              <w:b/>
              <w:bCs/>
              <w:sz w:val="28"/>
              <w:szCs w:val="28"/>
            </w:rPr>
            <w:t>ebriefing</w:t>
          </w:r>
        </w:p>
      </w:tc>
    </w:tr>
  </w:tbl>
  <w:p w14:paraId="2DEAE14A" w14:textId="77777777" w:rsidR="00A9278C" w:rsidRDefault="00A92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7A6136"/>
    <w:lvl w:ilvl="0">
      <w:numFmt w:val="bullet"/>
      <w:lvlText w:val="*"/>
      <w:lvlJc w:val="left"/>
    </w:lvl>
  </w:abstractNum>
  <w:abstractNum w:abstractNumId="1" w15:restartNumberingAfterBreak="0">
    <w:nsid w:val="03381FAB"/>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48A"/>
    <w:multiLevelType w:val="hybridMultilevel"/>
    <w:tmpl w:val="FC20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12BA"/>
    <w:multiLevelType w:val="hybridMultilevel"/>
    <w:tmpl w:val="468CD0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0359F"/>
    <w:multiLevelType w:val="hybridMultilevel"/>
    <w:tmpl w:val="996A1F1A"/>
    <w:lvl w:ilvl="0" w:tplc="4CC21CF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43247"/>
    <w:multiLevelType w:val="hybridMultilevel"/>
    <w:tmpl w:val="2D7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6776"/>
    <w:multiLevelType w:val="hybridMultilevel"/>
    <w:tmpl w:val="AFA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D5EE7"/>
    <w:multiLevelType w:val="hybridMultilevel"/>
    <w:tmpl w:val="2DE27D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B3558"/>
    <w:multiLevelType w:val="hybridMultilevel"/>
    <w:tmpl w:val="FAD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384"/>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F296F"/>
    <w:multiLevelType w:val="hybridMultilevel"/>
    <w:tmpl w:val="E8D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F2E24"/>
    <w:multiLevelType w:val="hybridMultilevel"/>
    <w:tmpl w:val="4D1E0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53981"/>
    <w:multiLevelType w:val="hybridMultilevel"/>
    <w:tmpl w:val="AAFA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0E91"/>
    <w:multiLevelType w:val="hybridMultilevel"/>
    <w:tmpl w:val="A29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26686"/>
    <w:multiLevelType w:val="hybridMultilevel"/>
    <w:tmpl w:val="051EA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E87882"/>
    <w:multiLevelType w:val="hybridMultilevel"/>
    <w:tmpl w:val="0DA2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6313B"/>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42088"/>
    <w:multiLevelType w:val="hybridMultilevel"/>
    <w:tmpl w:val="8EE8CA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36B01"/>
    <w:multiLevelType w:val="hybridMultilevel"/>
    <w:tmpl w:val="6D30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2497C"/>
    <w:multiLevelType w:val="hybridMultilevel"/>
    <w:tmpl w:val="3182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95CCF"/>
    <w:multiLevelType w:val="hybridMultilevel"/>
    <w:tmpl w:val="67E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57240"/>
    <w:multiLevelType w:val="hybridMultilevel"/>
    <w:tmpl w:val="B19C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A4F24"/>
    <w:multiLevelType w:val="hybridMultilevel"/>
    <w:tmpl w:val="ACAAA5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873C40"/>
    <w:multiLevelType w:val="hybridMultilevel"/>
    <w:tmpl w:val="3EDA9118"/>
    <w:lvl w:ilvl="0" w:tplc="397A6136">
      <w:numFmt w:val="bullet"/>
      <w:lvlText w:val="-"/>
      <w:lvlJc w:val="left"/>
      <w:pPr>
        <w:ind w:left="1080" w:hanging="360"/>
      </w:pPr>
      <w:rPr>
        <w:rFonts w:ascii="Constantia" w:hAnsi="Constantia" w:hint="default"/>
        <w:sz w:val="4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491617"/>
    <w:multiLevelType w:val="hybridMultilevel"/>
    <w:tmpl w:val="6D188DDE"/>
    <w:lvl w:ilvl="0" w:tplc="6C7652D8">
      <w:start w:val="1"/>
      <w:numFmt w:val="decimal"/>
      <w:lvlText w:val="%1."/>
      <w:lvlJc w:val="left"/>
      <w:pPr>
        <w:ind w:left="900" w:hanging="360"/>
      </w:pPr>
      <w:rPr>
        <w:rFonts w:ascii="Times New Roman Bold" w:hAnsi="Times New Roman Bold" w:hint="default"/>
        <w:b/>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2"/>
  </w:num>
  <w:num w:numId="3">
    <w:abstractNumId w:val="10"/>
  </w:num>
  <w:num w:numId="4">
    <w:abstractNumId w:val="21"/>
  </w:num>
  <w:num w:numId="5">
    <w:abstractNumId w:val="8"/>
  </w:num>
  <w:num w:numId="6">
    <w:abstractNumId w:val="19"/>
  </w:num>
  <w:num w:numId="7">
    <w:abstractNumId w:val="15"/>
  </w:num>
  <w:num w:numId="8">
    <w:abstractNumId w:val="11"/>
  </w:num>
  <w:num w:numId="9">
    <w:abstractNumId w:val="13"/>
  </w:num>
  <w:num w:numId="10">
    <w:abstractNumId w:val="16"/>
  </w:num>
  <w:num w:numId="11">
    <w:abstractNumId w:val="9"/>
  </w:num>
  <w:num w:numId="12">
    <w:abstractNumId w:val="2"/>
  </w:num>
  <w:num w:numId="13">
    <w:abstractNumId w:val="18"/>
  </w:num>
  <w:num w:numId="14">
    <w:abstractNumId w:val="4"/>
  </w:num>
  <w:num w:numId="15">
    <w:abstractNumId w:val="24"/>
  </w:num>
  <w:num w:numId="16">
    <w:abstractNumId w:val="0"/>
    <w:lvlOverride w:ilvl="0">
      <w:lvl w:ilvl="0">
        <w:numFmt w:val="bullet"/>
        <w:lvlText w:val="-"/>
        <w:legacy w:legacy="1" w:legacySpace="0" w:legacyIndent="0"/>
        <w:lvlJc w:val="left"/>
        <w:rPr>
          <w:rFonts w:ascii="Constantia" w:hAnsi="Constantia" w:hint="default"/>
          <w:sz w:val="48"/>
        </w:rPr>
      </w:lvl>
    </w:lvlOverride>
  </w:num>
  <w:num w:numId="17">
    <w:abstractNumId w:val="22"/>
  </w:num>
  <w:num w:numId="18">
    <w:abstractNumId w:val="14"/>
  </w:num>
  <w:num w:numId="19">
    <w:abstractNumId w:val="0"/>
    <w:lvlOverride w:ilvl="0">
      <w:lvl w:ilvl="0">
        <w:numFmt w:val="bullet"/>
        <w:lvlText w:val="-"/>
        <w:legacy w:legacy="1" w:legacySpace="0" w:legacyIndent="0"/>
        <w:lvlJc w:val="left"/>
        <w:rPr>
          <w:rFonts w:ascii="Cambria" w:hAnsi="Cambria" w:hint="default"/>
          <w:sz w:val="48"/>
        </w:rPr>
      </w:lvl>
    </w:lvlOverride>
  </w:num>
  <w:num w:numId="20">
    <w:abstractNumId w:val="7"/>
  </w:num>
  <w:num w:numId="21">
    <w:abstractNumId w:val="3"/>
  </w:num>
  <w:num w:numId="22">
    <w:abstractNumId w:val="17"/>
  </w:num>
  <w:num w:numId="23">
    <w:abstractNumId w:val="23"/>
  </w:num>
  <w:num w:numId="24">
    <w:abstractNumId w:val="5"/>
  </w:num>
  <w:num w:numId="25">
    <w:abstractNumId w:val="6"/>
  </w:num>
  <w:num w:numId="2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DC"/>
    <w:rsid w:val="00012212"/>
    <w:rsid w:val="000221C0"/>
    <w:rsid w:val="00023D99"/>
    <w:rsid w:val="00042ED4"/>
    <w:rsid w:val="00042F87"/>
    <w:rsid w:val="00047E34"/>
    <w:rsid w:val="000512AF"/>
    <w:rsid w:val="00054288"/>
    <w:rsid w:val="0005650F"/>
    <w:rsid w:val="00057A72"/>
    <w:rsid w:val="000613FA"/>
    <w:rsid w:val="0006782F"/>
    <w:rsid w:val="000713AF"/>
    <w:rsid w:val="0007793C"/>
    <w:rsid w:val="0008792E"/>
    <w:rsid w:val="0009066A"/>
    <w:rsid w:val="000914F3"/>
    <w:rsid w:val="000915DD"/>
    <w:rsid w:val="000978F5"/>
    <w:rsid w:val="000A0730"/>
    <w:rsid w:val="000A3D15"/>
    <w:rsid w:val="000C1263"/>
    <w:rsid w:val="000C2496"/>
    <w:rsid w:val="000C3BB9"/>
    <w:rsid w:val="000C44E3"/>
    <w:rsid w:val="000D0AD6"/>
    <w:rsid w:val="000D6658"/>
    <w:rsid w:val="000D7BB8"/>
    <w:rsid w:val="000E3BBD"/>
    <w:rsid w:val="000F328D"/>
    <w:rsid w:val="00104815"/>
    <w:rsid w:val="00107F73"/>
    <w:rsid w:val="001168E3"/>
    <w:rsid w:val="001233F1"/>
    <w:rsid w:val="001325EA"/>
    <w:rsid w:val="001407A0"/>
    <w:rsid w:val="00144145"/>
    <w:rsid w:val="00145BEC"/>
    <w:rsid w:val="00150F4A"/>
    <w:rsid w:val="0015240E"/>
    <w:rsid w:val="00152F92"/>
    <w:rsid w:val="00153849"/>
    <w:rsid w:val="00161EE1"/>
    <w:rsid w:val="00166421"/>
    <w:rsid w:val="00166D10"/>
    <w:rsid w:val="00167869"/>
    <w:rsid w:val="00172663"/>
    <w:rsid w:val="001735E0"/>
    <w:rsid w:val="00173B2D"/>
    <w:rsid w:val="001755BB"/>
    <w:rsid w:val="00177FE1"/>
    <w:rsid w:val="0019273D"/>
    <w:rsid w:val="0019348B"/>
    <w:rsid w:val="001943A0"/>
    <w:rsid w:val="001958E1"/>
    <w:rsid w:val="001A5ADB"/>
    <w:rsid w:val="001A5ECE"/>
    <w:rsid w:val="001B5AD9"/>
    <w:rsid w:val="001B70CD"/>
    <w:rsid w:val="001C07D8"/>
    <w:rsid w:val="001C3685"/>
    <w:rsid w:val="001E01BE"/>
    <w:rsid w:val="001E296D"/>
    <w:rsid w:val="001F0E81"/>
    <w:rsid w:val="001F1A9D"/>
    <w:rsid w:val="001F1C20"/>
    <w:rsid w:val="001F22AE"/>
    <w:rsid w:val="001F2B78"/>
    <w:rsid w:val="00200354"/>
    <w:rsid w:val="00204229"/>
    <w:rsid w:val="002066E6"/>
    <w:rsid w:val="00207AB7"/>
    <w:rsid w:val="002212EB"/>
    <w:rsid w:val="00234A0D"/>
    <w:rsid w:val="00237324"/>
    <w:rsid w:val="002378FC"/>
    <w:rsid w:val="00242DA7"/>
    <w:rsid w:val="0024444C"/>
    <w:rsid w:val="002452FF"/>
    <w:rsid w:val="002627F1"/>
    <w:rsid w:val="0026382A"/>
    <w:rsid w:val="0027141F"/>
    <w:rsid w:val="002813FC"/>
    <w:rsid w:val="0029747E"/>
    <w:rsid w:val="002A0EA2"/>
    <w:rsid w:val="002A13F8"/>
    <w:rsid w:val="002A40B7"/>
    <w:rsid w:val="002B5DE4"/>
    <w:rsid w:val="002C059C"/>
    <w:rsid w:val="002C6A7E"/>
    <w:rsid w:val="002D1A74"/>
    <w:rsid w:val="002D1AF8"/>
    <w:rsid w:val="002D6989"/>
    <w:rsid w:val="002E3735"/>
    <w:rsid w:val="002E5546"/>
    <w:rsid w:val="002F001D"/>
    <w:rsid w:val="002F3745"/>
    <w:rsid w:val="002F5D7E"/>
    <w:rsid w:val="002F7341"/>
    <w:rsid w:val="00303BC5"/>
    <w:rsid w:val="0030765B"/>
    <w:rsid w:val="0031156F"/>
    <w:rsid w:val="00314829"/>
    <w:rsid w:val="003260C2"/>
    <w:rsid w:val="00332B7D"/>
    <w:rsid w:val="00332D20"/>
    <w:rsid w:val="00341F45"/>
    <w:rsid w:val="00342D6B"/>
    <w:rsid w:val="0034541E"/>
    <w:rsid w:val="00354CA7"/>
    <w:rsid w:val="00355F45"/>
    <w:rsid w:val="00363F52"/>
    <w:rsid w:val="00367281"/>
    <w:rsid w:val="0037243D"/>
    <w:rsid w:val="0037558C"/>
    <w:rsid w:val="003912B6"/>
    <w:rsid w:val="003B6CC0"/>
    <w:rsid w:val="003C7EFE"/>
    <w:rsid w:val="003D2386"/>
    <w:rsid w:val="003D5D47"/>
    <w:rsid w:val="003E27DF"/>
    <w:rsid w:val="003E6B1E"/>
    <w:rsid w:val="003E7BBB"/>
    <w:rsid w:val="003F1B96"/>
    <w:rsid w:val="003F6C68"/>
    <w:rsid w:val="003F7E3A"/>
    <w:rsid w:val="00406224"/>
    <w:rsid w:val="0041344A"/>
    <w:rsid w:val="00414C93"/>
    <w:rsid w:val="00416C15"/>
    <w:rsid w:val="00417354"/>
    <w:rsid w:val="00422D27"/>
    <w:rsid w:val="00432274"/>
    <w:rsid w:val="0043540F"/>
    <w:rsid w:val="00436A6D"/>
    <w:rsid w:val="00441E83"/>
    <w:rsid w:val="004466B1"/>
    <w:rsid w:val="00447F6C"/>
    <w:rsid w:val="00454BAE"/>
    <w:rsid w:val="00461420"/>
    <w:rsid w:val="00462DAF"/>
    <w:rsid w:val="00471FD5"/>
    <w:rsid w:val="004772D0"/>
    <w:rsid w:val="00477B14"/>
    <w:rsid w:val="004904C2"/>
    <w:rsid w:val="00492D74"/>
    <w:rsid w:val="004936E2"/>
    <w:rsid w:val="004B0190"/>
    <w:rsid w:val="004B58AD"/>
    <w:rsid w:val="004B69DA"/>
    <w:rsid w:val="004B6FE4"/>
    <w:rsid w:val="004C1D18"/>
    <w:rsid w:val="004C35E3"/>
    <w:rsid w:val="004C4EB4"/>
    <w:rsid w:val="004C56FE"/>
    <w:rsid w:val="004E13DC"/>
    <w:rsid w:val="004E635A"/>
    <w:rsid w:val="004F3382"/>
    <w:rsid w:val="004F3532"/>
    <w:rsid w:val="005027BF"/>
    <w:rsid w:val="00503D91"/>
    <w:rsid w:val="005064B7"/>
    <w:rsid w:val="005118BE"/>
    <w:rsid w:val="00515B97"/>
    <w:rsid w:val="00521642"/>
    <w:rsid w:val="005221A2"/>
    <w:rsid w:val="00527264"/>
    <w:rsid w:val="00531ECA"/>
    <w:rsid w:val="00533AED"/>
    <w:rsid w:val="00533B53"/>
    <w:rsid w:val="00540592"/>
    <w:rsid w:val="00542DB4"/>
    <w:rsid w:val="005455F1"/>
    <w:rsid w:val="00547B1A"/>
    <w:rsid w:val="00547ED3"/>
    <w:rsid w:val="00563048"/>
    <w:rsid w:val="00565A8C"/>
    <w:rsid w:val="0057422B"/>
    <w:rsid w:val="00574F1B"/>
    <w:rsid w:val="00581B88"/>
    <w:rsid w:val="00582464"/>
    <w:rsid w:val="00586DAE"/>
    <w:rsid w:val="0059676C"/>
    <w:rsid w:val="005A31C7"/>
    <w:rsid w:val="005B11D1"/>
    <w:rsid w:val="005B7486"/>
    <w:rsid w:val="005B7775"/>
    <w:rsid w:val="005D0A6A"/>
    <w:rsid w:val="005E0A9E"/>
    <w:rsid w:val="005E3B79"/>
    <w:rsid w:val="005E6160"/>
    <w:rsid w:val="005E6641"/>
    <w:rsid w:val="005F6F01"/>
    <w:rsid w:val="0060389D"/>
    <w:rsid w:val="00611881"/>
    <w:rsid w:val="00612D74"/>
    <w:rsid w:val="00615DCE"/>
    <w:rsid w:val="00631289"/>
    <w:rsid w:val="00637B37"/>
    <w:rsid w:val="00643ADC"/>
    <w:rsid w:val="00650327"/>
    <w:rsid w:val="006530B5"/>
    <w:rsid w:val="00677744"/>
    <w:rsid w:val="00677B41"/>
    <w:rsid w:val="006817E1"/>
    <w:rsid w:val="006873C6"/>
    <w:rsid w:val="00690C44"/>
    <w:rsid w:val="00690ED8"/>
    <w:rsid w:val="0069396D"/>
    <w:rsid w:val="00695F66"/>
    <w:rsid w:val="006A6399"/>
    <w:rsid w:val="006A67D8"/>
    <w:rsid w:val="006A6DFE"/>
    <w:rsid w:val="006B141C"/>
    <w:rsid w:val="006C14D4"/>
    <w:rsid w:val="006C7385"/>
    <w:rsid w:val="006D0810"/>
    <w:rsid w:val="006D6CD6"/>
    <w:rsid w:val="006E591B"/>
    <w:rsid w:val="006E7A18"/>
    <w:rsid w:val="0070115F"/>
    <w:rsid w:val="007038D3"/>
    <w:rsid w:val="007055B6"/>
    <w:rsid w:val="00706F3B"/>
    <w:rsid w:val="00720DBC"/>
    <w:rsid w:val="007267FC"/>
    <w:rsid w:val="0072753D"/>
    <w:rsid w:val="00730C72"/>
    <w:rsid w:val="00743251"/>
    <w:rsid w:val="00746BD2"/>
    <w:rsid w:val="00753C2F"/>
    <w:rsid w:val="00756AA4"/>
    <w:rsid w:val="00764ABD"/>
    <w:rsid w:val="00764D8B"/>
    <w:rsid w:val="00766AEE"/>
    <w:rsid w:val="007719A1"/>
    <w:rsid w:val="00780EEB"/>
    <w:rsid w:val="00792293"/>
    <w:rsid w:val="0079260C"/>
    <w:rsid w:val="007959ED"/>
    <w:rsid w:val="00797D6D"/>
    <w:rsid w:val="007A0D8F"/>
    <w:rsid w:val="007A41A0"/>
    <w:rsid w:val="007A4DD2"/>
    <w:rsid w:val="007A4DFD"/>
    <w:rsid w:val="007B58B2"/>
    <w:rsid w:val="007C00AF"/>
    <w:rsid w:val="007C2826"/>
    <w:rsid w:val="007C7246"/>
    <w:rsid w:val="007C7E2B"/>
    <w:rsid w:val="007D7E96"/>
    <w:rsid w:val="007E19BC"/>
    <w:rsid w:val="007E445B"/>
    <w:rsid w:val="007E7508"/>
    <w:rsid w:val="007F310F"/>
    <w:rsid w:val="008035A7"/>
    <w:rsid w:val="00806BA4"/>
    <w:rsid w:val="00810A8B"/>
    <w:rsid w:val="00826251"/>
    <w:rsid w:val="00833659"/>
    <w:rsid w:val="00834C65"/>
    <w:rsid w:val="00835D0D"/>
    <w:rsid w:val="00845968"/>
    <w:rsid w:val="008557D8"/>
    <w:rsid w:val="00855800"/>
    <w:rsid w:val="0085633F"/>
    <w:rsid w:val="00867D1E"/>
    <w:rsid w:val="00882287"/>
    <w:rsid w:val="008865F4"/>
    <w:rsid w:val="00897484"/>
    <w:rsid w:val="008977D4"/>
    <w:rsid w:val="00897BF4"/>
    <w:rsid w:val="008A2713"/>
    <w:rsid w:val="008A33C8"/>
    <w:rsid w:val="008A3B0D"/>
    <w:rsid w:val="008A68C2"/>
    <w:rsid w:val="008C3F44"/>
    <w:rsid w:val="008C6C38"/>
    <w:rsid w:val="008D0166"/>
    <w:rsid w:val="008D3FB6"/>
    <w:rsid w:val="008E33F8"/>
    <w:rsid w:val="008E405C"/>
    <w:rsid w:val="008F1978"/>
    <w:rsid w:val="008F1A66"/>
    <w:rsid w:val="009021EF"/>
    <w:rsid w:val="00917C11"/>
    <w:rsid w:val="009248F9"/>
    <w:rsid w:val="00924F96"/>
    <w:rsid w:val="00937B1B"/>
    <w:rsid w:val="009419D6"/>
    <w:rsid w:val="00944DD2"/>
    <w:rsid w:val="0094628D"/>
    <w:rsid w:val="00950425"/>
    <w:rsid w:val="0095288F"/>
    <w:rsid w:val="00963030"/>
    <w:rsid w:val="00964972"/>
    <w:rsid w:val="00967CC9"/>
    <w:rsid w:val="0097243B"/>
    <w:rsid w:val="009732B0"/>
    <w:rsid w:val="00981BCC"/>
    <w:rsid w:val="00982EFC"/>
    <w:rsid w:val="00984C41"/>
    <w:rsid w:val="00994897"/>
    <w:rsid w:val="009A51F0"/>
    <w:rsid w:val="009A6B85"/>
    <w:rsid w:val="009B0634"/>
    <w:rsid w:val="009C46C2"/>
    <w:rsid w:val="009D1A2E"/>
    <w:rsid w:val="009D5A2B"/>
    <w:rsid w:val="009D5E08"/>
    <w:rsid w:val="009E44DE"/>
    <w:rsid w:val="009E4EA4"/>
    <w:rsid w:val="009F380E"/>
    <w:rsid w:val="00A00087"/>
    <w:rsid w:val="00A024C2"/>
    <w:rsid w:val="00A03991"/>
    <w:rsid w:val="00A071B6"/>
    <w:rsid w:val="00A112B6"/>
    <w:rsid w:val="00A26845"/>
    <w:rsid w:val="00A41241"/>
    <w:rsid w:val="00A45B5D"/>
    <w:rsid w:val="00A532FC"/>
    <w:rsid w:val="00A56136"/>
    <w:rsid w:val="00A624F2"/>
    <w:rsid w:val="00A64189"/>
    <w:rsid w:val="00A73D63"/>
    <w:rsid w:val="00A77789"/>
    <w:rsid w:val="00A844BF"/>
    <w:rsid w:val="00A86242"/>
    <w:rsid w:val="00A909AD"/>
    <w:rsid w:val="00A9235C"/>
    <w:rsid w:val="00A9278C"/>
    <w:rsid w:val="00A92B57"/>
    <w:rsid w:val="00A964ED"/>
    <w:rsid w:val="00A96D85"/>
    <w:rsid w:val="00AA0772"/>
    <w:rsid w:val="00AA603B"/>
    <w:rsid w:val="00AB3478"/>
    <w:rsid w:val="00AB6864"/>
    <w:rsid w:val="00AC14FA"/>
    <w:rsid w:val="00AC1BBB"/>
    <w:rsid w:val="00AC45B1"/>
    <w:rsid w:val="00AC7B83"/>
    <w:rsid w:val="00AD2914"/>
    <w:rsid w:val="00AD4437"/>
    <w:rsid w:val="00AD4B5E"/>
    <w:rsid w:val="00AD75E7"/>
    <w:rsid w:val="00AF08AF"/>
    <w:rsid w:val="00AF1E20"/>
    <w:rsid w:val="00AF543C"/>
    <w:rsid w:val="00AF5AE6"/>
    <w:rsid w:val="00B003B9"/>
    <w:rsid w:val="00B01A9B"/>
    <w:rsid w:val="00B01DD8"/>
    <w:rsid w:val="00B026B0"/>
    <w:rsid w:val="00B02D84"/>
    <w:rsid w:val="00B04A72"/>
    <w:rsid w:val="00B054AD"/>
    <w:rsid w:val="00B06600"/>
    <w:rsid w:val="00B224CA"/>
    <w:rsid w:val="00B23E26"/>
    <w:rsid w:val="00B263A1"/>
    <w:rsid w:val="00B2651A"/>
    <w:rsid w:val="00B31491"/>
    <w:rsid w:val="00B31FD9"/>
    <w:rsid w:val="00B370A8"/>
    <w:rsid w:val="00B375AE"/>
    <w:rsid w:val="00B5065C"/>
    <w:rsid w:val="00B50715"/>
    <w:rsid w:val="00B528BD"/>
    <w:rsid w:val="00B60AF8"/>
    <w:rsid w:val="00B60FB2"/>
    <w:rsid w:val="00B61E85"/>
    <w:rsid w:val="00B63769"/>
    <w:rsid w:val="00B837B7"/>
    <w:rsid w:val="00B854EC"/>
    <w:rsid w:val="00B87AE8"/>
    <w:rsid w:val="00B9478B"/>
    <w:rsid w:val="00BA1D52"/>
    <w:rsid w:val="00BA36E9"/>
    <w:rsid w:val="00BA6AD5"/>
    <w:rsid w:val="00BB047F"/>
    <w:rsid w:val="00BB40F1"/>
    <w:rsid w:val="00BB524A"/>
    <w:rsid w:val="00BB6180"/>
    <w:rsid w:val="00BB78C0"/>
    <w:rsid w:val="00BC21B4"/>
    <w:rsid w:val="00BC37C2"/>
    <w:rsid w:val="00BC3ED2"/>
    <w:rsid w:val="00BC4B67"/>
    <w:rsid w:val="00BD1E17"/>
    <w:rsid w:val="00BE68EB"/>
    <w:rsid w:val="00BF070F"/>
    <w:rsid w:val="00BF5013"/>
    <w:rsid w:val="00C11BF7"/>
    <w:rsid w:val="00C13E0A"/>
    <w:rsid w:val="00C15508"/>
    <w:rsid w:val="00C204A3"/>
    <w:rsid w:val="00C269DC"/>
    <w:rsid w:val="00C27DB6"/>
    <w:rsid w:val="00C46BFB"/>
    <w:rsid w:val="00C57EB8"/>
    <w:rsid w:val="00C61BD9"/>
    <w:rsid w:val="00C67C0F"/>
    <w:rsid w:val="00C73249"/>
    <w:rsid w:val="00C77414"/>
    <w:rsid w:val="00C92458"/>
    <w:rsid w:val="00C95FA3"/>
    <w:rsid w:val="00C96DB1"/>
    <w:rsid w:val="00CA4591"/>
    <w:rsid w:val="00CA679A"/>
    <w:rsid w:val="00CA73C7"/>
    <w:rsid w:val="00CB3CE3"/>
    <w:rsid w:val="00CB7CF8"/>
    <w:rsid w:val="00CC0ABE"/>
    <w:rsid w:val="00CC3A09"/>
    <w:rsid w:val="00CD2360"/>
    <w:rsid w:val="00CD2502"/>
    <w:rsid w:val="00CD3590"/>
    <w:rsid w:val="00CD4D46"/>
    <w:rsid w:val="00CD6D34"/>
    <w:rsid w:val="00CE526A"/>
    <w:rsid w:val="00CF1771"/>
    <w:rsid w:val="00CF65D1"/>
    <w:rsid w:val="00CF6672"/>
    <w:rsid w:val="00CF6705"/>
    <w:rsid w:val="00D0264F"/>
    <w:rsid w:val="00D057B1"/>
    <w:rsid w:val="00D065F9"/>
    <w:rsid w:val="00D11A5E"/>
    <w:rsid w:val="00D15FCD"/>
    <w:rsid w:val="00D17BBD"/>
    <w:rsid w:val="00D22919"/>
    <w:rsid w:val="00D22E16"/>
    <w:rsid w:val="00D22E53"/>
    <w:rsid w:val="00D26ADE"/>
    <w:rsid w:val="00D34119"/>
    <w:rsid w:val="00D368A1"/>
    <w:rsid w:val="00D37361"/>
    <w:rsid w:val="00D449F4"/>
    <w:rsid w:val="00D5015C"/>
    <w:rsid w:val="00D53409"/>
    <w:rsid w:val="00D635A2"/>
    <w:rsid w:val="00D63CBB"/>
    <w:rsid w:val="00D64733"/>
    <w:rsid w:val="00D71677"/>
    <w:rsid w:val="00D74AE8"/>
    <w:rsid w:val="00D77218"/>
    <w:rsid w:val="00D775E1"/>
    <w:rsid w:val="00D77E98"/>
    <w:rsid w:val="00D85B7D"/>
    <w:rsid w:val="00D90E10"/>
    <w:rsid w:val="00D943FC"/>
    <w:rsid w:val="00D952EC"/>
    <w:rsid w:val="00DA0F8F"/>
    <w:rsid w:val="00DA1D27"/>
    <w:rsid w:val="00DB1AEF"/>
    <w:rsid w:val="00DB1B41"/>
    <w:rsid w:val="00DB360C"/>
    <w:rsid w:val="00DD73EC"/>
    <w:rsid w:val="00DE24F6"/>
    <w:rsid w:val="00DE2549"/>
    <w:rsid w:val="00DE2EA8"/>
    <w:rsid w:val="00DE2F44"/>
    <w:rsid w:val="00DE6CD4"/>
    <w:rsid w:val="00DE7058"/>
    <w:rsid w:val="00DE722E"/>
    <w:rsid w:val="00DF09D4"/>
    <w:rsid w:val="00E013A0"/>
    <w:rsid w:val="00E01C9C"/>
    <w:rsid w:val="00E04380"/>
    <w:rsid w:val="00E04485"/>
    <w:rsid w:val="00E06135"/>
    <w:rsid w:val="00E07085"/>
    <w:rsid w:val="00E11DC1"/>
    <w:rsid w:val="00E14C29"/>
    <w:rsid w:val="00E170B5"/>
    <w:rsid w:val="00E220DB"/>
    <w:rsid w:val="00E2662D"/>
    <w:rsid w:val="00E275B2"/>
    <w:rsid w:val="00E3400A"/>
    <w:rsid w:val="00E357E0"/>
    <w:rsid w:val="00E37AA1"/>
    <w:rsid w:val="00E42E56"/>
    <w:rsid w:val="00E51FD1"/>
    <w:rsid w:val="00E56EB7"/>
    <w:rsid w:val="00E56F6B"/>
    <w:rsid w:val="00E65178"/>
    <w:rsid w:val="00E7045C"/>
    <w:rsid w:val="00E738F3"/>
    <w:rsid w:val="00E76741"/>
    <w:rsid w:val="00E8243B"/>
    <w:rsid w:val="00E826BB"/>
    <w:rsid w:val="00E8468F"/>
    <w:rsid w:val="00E86829"/>
    <w:rsid w:val="00E90071"/>
    <w:rsid w:val="00EA4899"/>
    <w:rsid w:val="00EA5312"/>
    <w:rsid w:val="00EB14C2"/>
    <w:rsid w:val="00EB1A20"/>
    <w:rsid w:val="00EB3C13"/>
    <w:rsid w:val="00EC23DF"/>
    <w:rsid w:val="00ED2BE0"/>
    <w:rsid w:val="00ED3E3C"/>
    <w:rsid w:val="00ED52AD"/>
    <w:rsid w:val="00EF1590"/>
    <w:rsid w:val="00EF7FC4"/>
    <w:rsid w:val="00F0722A"/>
    <w:rsid w:val="00F12C9B"/>
    <w:rsid w:val="00F16A97"/>
    <w:rsid w:val="00F20FC5"/>
    <w:rsid w:val="00F240AF"/>
    <w:rsid w:val="00F2661B"/>
    <w:rsid w:val="00F308F4"/>
    <w:rsid w:val="00F31C3A"/>
    <w:rsid w:val="00F31F5D"/>
    <w:rsid w:val="00F3259B"/>
    <w:rsid w:val="00F32F2F"/>
    <w:rsid w:val="00F466A7"/>
    <w:rsid w:val="00F53482"/>
    <w:rsid w:val="00F55166"/>
    <w:rsid w:val="00F560DE"/>
    <w:rsid w:val="00F61098"/>
    <w:rsid w:val="00F7165C"/>
    <w:rsid w:val="00F73A94"/>
    <w:rsid w:val="00F838D8"/>
    <w:rsid w:val="00F871F0"/>
    <w:rsid w:val="00F91491"/>
    <w:rsid w:val="00F96064"/>
    <w:rsid w:val="00F96FA4"/>
    <w:rsid w:val="00FA1692"/>
    <w:rsid w:val="00FA2524"/>
    <w:rsid w:val="00FB3ACD"/>
    <w:rsid w:val="00FC149F"/>
    <w:rsid w:val="00FC1596"/>
    <w:rsid w:val="00FD420D"/>
    <w:rsid w:val="00FE14E7"/>
    <w:rsid w:val="00FF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7BB6E"/>
  <w15:docId w15:val="{B4A6857A-A48C-463D-ABD3-75210C58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B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855800"/>
    <w:pPr>
      <w:keepNext/>
      <w:spacing w:before="240"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C2826"/>
    <w:pPr>
      <w:widowControl w:val="0"/>
      <w:autoSpaceDE w:val="0"/>
      <w:autoSpaceDN w:val="0"/>
      <w:adjustRightInd w:val="0"/>
      <w:ind w:left="1170" w:hanging="450"/>
      <w:outlineLvl w:val="1"/>
    </w:pPr>
    <w:rPr>
      <w:color w:val="000000"/>
      <w:kern w:val="24"/>
      <w:sz w:val="56"/>
      <w:szCs w:val="56"/>
    </w:rPr>
  </w:style>
  <w:style w:type="paragraph" w:styleId="Heading3">
    <w:name w:val="heading 3"/>
    <w:basedOn w:val="Normal"/>
    <w:next w:val="Normal"/>
    <w:link w:val="Heading3Char"/>
    <w:uiPriority w:val="9"/>
    <w:unhideWhenUsed/>
    <w:qFormat/>
    <w:rsid w:val="001E01B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0389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66B1"/>
    <w:pPr>
      <w:tabs>
        <w:tab w:val="center" w:pos="4680"/>
        <w:tab w:val="right" w:pos="9360"/>
      </w:tabs>
    </w:pPr>
  </w:style>
  <w:style w:type="character" w:customStyle="1" w:styleId="HeaderChar">
    <w:name w:val="Header Char"/>
    <w:link w:val="Header"/>
    <w:uiPriority w:val="99"/>
    <w:rsid w:val="004466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66B1"/>
    <w:pPr>
      <w:tabs>
        <w:tab w:val="center" w:pos="4680"/>
        <w:tab w:val="right" w:pos="9360"/>
      </w:tabs>
    </w:pPr>
  </w:style>
  <w:style w:type="character" w:customStyle="1" w:styleId="FooterChar">
    <w:name w:val="Footer Char"/>
    <w:link w:val="Footer"/>
    <w:uiPriority w:val="99"/>
    <w:rsid w:val="004466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66B1"/>
    <w:rPr>
      <w:rFonts w:ascii="Tahoma" w:hAnsi="Tahoma" w:cs="Tahoma"/>
      <w:sz w:val="16"/>
      <w:szCs w:val="16"/>
    </w:rPr>
  </w:style>
  <w:style w:type="character" w:customStyle="1" w:styleId="BalloonTextChar">
    <w:name w:val="Balloon Text Char"/>
    <w:link w:val="BalloonText"/>
    <w:uiPriority w:val="99"/>
    <w:semiHidden/>
    <w:rsid w:val="004466B1"/>
    <w:rPr>
      <w:rFonts w:ascii="Tahoma" w:eastAsia="Times New Roman" w:hAnsi="Tahoma" w:cs="Tahoma"/>
      <w:sz w:val="16"/>
      <w:szCs w:val="16"/>
    </w:rPr>
  </w:style>
  <w:style w:type="paragraph" w:styleId="ListParagraph">
    <w:name w:val="List Paragraph"/>
    <w:basedOn w:val="Normal"/>
    <w:uiPriority w:val="34"/>
    <w:qFormat/>
    <w:rsid w:val="00EA4899"/>
    <w:pPr>
      <w:ind w:left="720"/>
      <w:contextualSpacing/>
    </w:pPr>
  </w:style>
  <w:style w:type="character" w:styleId="CommentReference">
    <w:name w:val="annotation reference"/>
    <w:semiHidden/>
    <w:rsid w:val="00581B88"/>
    <w:rPr>
      <w:sz w:val="16"/>
      <w:szCs w:val="16"/>
    </w:rPr>
  </w:style>
  <w:style w:type="paragraph" w:styleId="CommentText">
    <w:name w:val="annotation text"/>
    <w:basedOn w:val="Normal"/>
    <w:link w:val="CommentTextChar"/>
    <w:semiHidden/>
    <w:rsid w:val="00581B88"/>
    <w:rPr>
      <w:sz w:val="20"/>
      <w:szCs w:val="20"/>
    </w:rPr>
  </w:style>
  <w:style w:type="paragraph" w:styleId="CommentSubject">
    <w:name w:val="annotation subject"/>
    <w:basedOn w:val="CommentText"/>
    <w:next w:val="CommentText"/>
    <w:semiHidden/>
    <w:rsid w:val="00581B88"/>
    <w:rPr>
      <w:b/>
      <w:bCs/>
    </w:rPr>
  </w:style>
  <w:style w:type="character" w:customStyle="1" w:styleId="CommentTextChar">
    <w:name w:val="Comment Text Char"/>
    <w:link w:val="CommentText"/>
    <w:semiHidden/>
    <w:rsid w:val="00354CA7"/>
    <w:rPr>
      <w:rFonts w:ascii="Times New Roman" w:eastAsia="Times New Roman" w:hAnsi="Times New Roman"/>
    </w:rPr>
  </w:style>
  <w:style w:type="character" w:styleId="Hyperlink">
    <w:name w:val="Hyperlink"/>
    <w:uiPriority w:val="99"/>
    <w:unhideWhenUsed/>
    <w:rsid w:val="00414C93"/>
    <w:rPr>
      <w:color w:val="0000FF"/>
      <w:u w:val="single"/>
    </w:rPr>
  </w:style>
  <w:style w:type="paragraph" w:styleId="Revision">
    <w:name w:val="Revision"/>
    <w:hidden/>
    <w:uiPriority w:val="99"/>
    <w:semiHidden/>
    <w:rsid w:val="00D635A2"/>
    <w:rPr>
      <w:rFonts w:ascii="Times New Roman" w:eastAsia="Times New Roman" w:hAnsi="Times New Roman"/>
      <w:sz w:val="24"/>
      <w:szCs w:val="24"/>
    </w:rPr>
  </w:style>
  <w:style w:type="paragraph" w:styleId="NormalWeb">
    <w:name w:val="Normal (Web)"/>
    <w:basedOn w:val="Normal"/>
    <w:uiPriority w:val="99"/>
    <w:semiHidden/>
    <w:unhideWhenUsed/>
    <w:rsid w:val="00207AB7"/>
    <w:pPr>
      <w:spacing w:before="100" w:beforeAutospacing="1" w:after="100" w:afterAutospacing="1"/>
    </w:pPr>
  </w:style>
  <w:style w:type="character" w:customStyle="1" w:styleId="Heading2Char">
    <w:name w:val="Heading 2 Char"/>
    <w:link w:val="Heading2"/>
    <w:uiPriority w:val="99"/>
    <w:rsid w:val="007C2826"/>
    <w:rPr>
      <w:rFonts w:ascii="Times New Roman" w:eastAsia="Times New Roman" w:hAnsi="Times New Roman"/>
      <w:color w:val="000000"/>
      <w:kern w:val="24"/>
      <w:sz w:val="56"/>
      <w:szCs w:val="56"/>
    </w:rPr>
  </w:style>
  <w:style w:type="character" w:customStyle="1" w:styleId="Heading1Char">
    <w:name w:val="Heading 1 Char"/>
    <w:link w:val="Heading1"/>
    <w:uiPriority w:val="9"/>
    <w:rsid w:val="00855800"/>
    <w:rPr>
      <w:rFonts w:ascii="Cambria" w:eastAsia="Times New Roman" w:hAnsi="Cambria"/>
      <w:b/>
      <w:bCs/>
      <w:kern w:val="32"/>
      <w:sz w:val="32"/>
      <w:szCs w:val="32"/>
    </w:rPr>
  </w:style>
  <w:style w:type="character" w:customStyle="1" w:styleId="Heading3Char">
    <w:name w:val="Heading 3 Char"/>
    <w:link w:val="Heading3"/>
    <w:uiPriority w:val="9"/>
    <w:rsid w:val="001E01BE"/>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BD1E17"/>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BD1E17"/>
    <w:pPr>
      <w:ind w:left="240"/>
    </w:pPr>
  </w:style>
  <w:style w:type="paragraph" w:styleId="TOC1">
    <w:name w:val="toc 1"/>
    <w:basedOn w:val="Normal"/>
    <w:next w:val="Normal"/>
    <w:autoRedefine/>
    <w:uiPriority w:val="39"/>
    <w:unhideWhenUsed/>
    <w:rsid w:val="00BD1E17"/>
  </w:style>
  <w:style w:type="paragraph" w:styleId="TOC3">
    <w:name w:val="toc 3"/>
    <w:basedOn w:val="Normal"/>
    <w:next w:val="Normal"/>
    <w:autoRedefine/>
    <w:uiPriority w:val="39"/>
    <w:unhideWhenUsed/>
    <w:rsid w:val="00BD1E17"/>
    <w:pPr>
      <w:ind w:left="480"/>
    </w:pPr>
  </w:style>
  <w:style w:type="character" w:customStyle="1" w:styleId="Heading4Char">
    <w:name w:val="Heading 4 Char"/>
    <w:basedOn w:val="DefaultParagraphFont"/>
    <w:link w:val="Heading4"/>
    <w:uiPriority w:val="9"/>
    <w:semiHidden/>
    <w:rsid w:val="0060389D"/>
    <w:rPr>
      <w:rFonts w:asciiTheme="minorHAnsi" w:eastAsiaTheme="minorEastAsia" w:hAnsiTheme="minorHAnsi" w:cstheme="minorBidi"/>
      <w:b/>
      <w:bCs/>
      <w:sz w:val="28"/>
      <w:szCs w:val="28"/>
    </w:rPr>
  </w:style>
  <w:style w:type="character" w:styleId="FollowedHyperlink">
    <w:name w:val="FollowedHyperlink"/>
    <w:basedOn w:val="DefaultParagraphFont"/>
    <w:uiPriority w:val="99"/>
    <w:semiHidden/>
    <w:unhideWhenUsed/>
    <w:rsid w:val="00471FD5"/>
    <w:rPr>
      <w:color w:val="800080" w:themeColor="followedHyperlink"/>
      <w:u w:val="single"/>
    </w:rPr>
  </w:style>
  <w:style w:type="table" w:customStyle="1" w:styleId="TableGrid1">
    <w:name w:val="Table Grid1"/>
    <w:basedOn w:val="TableNormal"/>
    <w:next w:val="TableGrid"/>
    <w:uiPriority w:val="59"/>
    <w:rsid w:val="008336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4735">
      <w:bodyDiv w:val="1"/>
      <w:marLeft w:val="0"/>
      <w:marRight w:val="0"/>
      <w:marTop w:val="0"/>
      <w:marBottom w:val="0"/>
      <w:divBdr>
        <w:top w:val="none" w:sz="0" w:space="0" w:color="auto"/>
        <w:left w:val="none" w:sz="0" w:space="0" w:color="auto"/>
        <w:bottom w:val="none" w:sz="0" w:space="0" w:color="auto"/>
        <w:right w:val="none" w:sz="0" w:space="0" w:color="auto"/>
      </w:divBdr>
    </w:div>
    <w:div w:id="293171466">
      <w:bodyDiv w:val="1"/>
      <w:marLeft w:val="0"/>
      <w:marRight w:val="0"/>
      <w:marTop w:val="0"/>
      <w:marBottom w:val="0"/>
      <w:divBdr>
        <w:top w:val="none" w:sz="0" w:space="0" w:color="auto"/>
        <w:left w:val="none" w:sz="0" w:space="0" w:color="auto"/>
        <w:bottom w:val="none" w:sz="0" w:space="0" w:color="auto"/>
        <w:right w:val="none" w:sz="0" w:space="0" w:color="auto"/>
      </w:divBdr>
    </w:div>
    <w:div w:id="325985617">
      <w:bodyDiv w:val="1"/>
      <w:marLeft w:val="0"/>
      <w:marRight w:val="0"/>
      <w:marTop w:val="0"/>
      <w:marBottom w:val="0"/>
      <w:divBdr>
        <w:top w:val="none" w:sz="0" w:space="0" w:color="auto"/>
        <w:left w:val="none" w:sz="0" w:space="0" w:color="auto"/>
        <w:bottom w:val="none" w:sz="0" w:space="0" w:color="auto"/>
        <w:right w:val="none" w:sz="0" w:space="0" w:color="auto"/>
      </w:divBdr>
    </w:div>
    <w:div w:id="561987298">
      <w:bodyDiv w:val="1"/>
      <w:marLeft w:val="0"/>
      <w:marRight w:val="0"/>
      <w:marTop w:val="0"/>
      <w:marBottom w:val="0"/>
      <w:divBdr>
        <w:top w:val="none" w:sz="0" w:space="0" w:color="auto"/>
        <w:left w:val="none" w:sz="0" w:space="0" w:color="auto"/>
        <w:bottom w:val="none" w:sz="0" w:space="0" w:color="auto"/>
        <w:right w:val="none" w:sz="0" w:space="0" w:color="auto"/>
      </w:divBdr>
    </w:div>
    <w:div w:id="684282582">
      <w:bodyDiv w:val="1"/>
      <w:marLeft w:val="0"/>
      <w:marRight w:val="0"/>
      <w:marTop w:val="0"/>
      <w:marBottom w:val="0"/>
      <w:divBdr>
        <w:top w:val="none" w:sz="0" w:space="0" w:color="auto"/>
        <w:left w:val="none" w:sz="0" w:space="0" w:color="auto"/>
        <w:bottom w:val="none" w:sz="0" w:space="0" w:color="auto"/>
        <w:right w:val="none" w:sz="0" w:space="0" w:color="auto"/>
      </w:divBdr>
    </w:div>
    <w:div w:id="978875054">
      <w:bodyDiv w:val="1"/>
      <w:marLeft w:val="0"/>
      <w:marRight w:val="0"/>
      <w:marTop w:val="0"/>
      <w:marBottom w:val="0"/>
      <w:divBdr>
        <w:top w:val="none" w:sz="0" w:space="0" w:color="auto"/>
        <w:left w:val="none" w:sz="0" w:space="0" w:color="auto"/>
        <w:bottom w:val="none" w:sz="0" w:space="0" w:color="auto"/>
        <w:right w:val="none" w:sz="0" w:space="0" w:color="auto"/>
      </w:divBdr>
    </w:div>
    <w:div w:id="1004013749">
      <w:bodyDiv w:val="1"/>
      <w:marLeft w:val="0"/>
      <w:marRight w:val="0"/>
      <w:marTop w:val="0"/>
      <w:marBottom w:val="0"/>
      <w:divBdr>
        <w:top w:val="none" w:sz="0" w:space="0" w:color="auto"/>
        <w:left w:val="none" w:sz="0" w:space="0" w:color="auto"/>
        <w:bottom w:val="none" w:sz="0" w:space="0" w:color="auto"/>
        <w:right w:val="none" w:sz="0" w:space="0" w:color="auto"/>
      </w:divBdr>
    </w:div>
    <w:div w:id="1165627953">
      <w:bodyDiv w:val="1"/>
      <w:marLeft w:val="0"/>
      <w:marRight w:val="0"/>
      <w:marTop w:val="0"/>
      <w:marBottom w:val="0"/>
      <w:divBdr>
        <w:top w:val="none" w:sz="0" w:space="0" w:color="auto"/>
        <w:left w:val="none" w:sz="0" w:space="0" w:color="auto"/>
        <w:bottom w:val="none" w:sz="0" w:space="0" w:color="auto"/>
        <w:right w:val="none" w:sz="0" w:space="0" w:color="auto"/>
      </w:divBdr>
    </w:div>
    <w:div w:id="1176652382">
      <w:bodyDiv w:val="1"/>
      <w:marLeft w:val="0"/>
      <w:marRight w:val="0"/>
      <w:marTop w:val="0"/>
      <w:marBottom w:val="0"/>
      <w:divBdr>
        <w:top w:val="none" w:sz="0" w:space="0" w:color="auto"/>
        <w:left w:val="none" w:sz="0" w:space="0" w:color="auto"/>
        <w:bottom w:val="none" w:sz="0" w:space="0" w:color="auto"/>
        <w:right w:val="none" w:sz="0" w:space="0" w:color="auto"/>
      </w:divBdr>
    </w:div>
    <w:div w:id="1362900228">
      <w:bodyDiv w:val="1"/>
      <w:marLeft w:val="0"/>
      <w:marRight w:val="0"/>
      <w:marTop w:val="0"/>
      <w:marBottom w:val="0"/>
      <w:divBdr>
        <w:top w:val="none" w:sz="0" w:space="0" w:color="auto"/>
        <w:left w:val="none" w:sz="0" w:space="0" w:color="auto"/>
        <w:bottom w:val="none" w:sz="0" w:space="0" w:color="auto"/>
        <w:right w:val="none" w:sz="0" w:space="0" w:color="auto"/>
      </w:divBdr>
    </w:div>
    <w:div w:id="1510217658">
      <w:bodyDiv w:val="1"/>
      <w:marLeft w:val="0"/>
      <w:marRight w:val="0"/>
      <w:marTop w:val="0"/>
      <w:marBottom w:val="0"/>
      <w:divBdr>
        <w:top w:val="none" w:sz="0" w:space="0" w:color="auto"/>
        <w:left w:val="none" w:sz="0" w:space="0" w:color="auto"/>
        <w:bottom w:val="none" w:sz="0" w:space="0" w:color="auto"/>
        <w:right w:val="none" w:sz="0" w:space="0" w:color="auto"/>
      </w:divBdr>
    </w:div>
    <w:div w:id="1564869225">
      <w:bodyDiv w:val="1"/>
      <w:marLeft w:val="0"/>
      <w:marRight w:val="0"/>
      <w:marTop w:val="0"/>
      <w:marBottom w:val="0"/>
      <w:divBdr>
        <w:top w:val="none" w:sz="0" w:space="0" w:color="auto"/>
        <w:left w:val="none" w:sz="0" w:space="0" w:color="auto"/>
        <w:bottom w:val="none" w:sz="0" w:space="0" w:color="auto"/>
        <w:right w:val="none" w:sz="0" w:space="0" w:color="auto"/>
      </w:divBdr>
    </w:div>
    <w:div w:id="2012416178">
      <w:bodyDiv w:val="1"/>
      <w:marLeft w:val="0"/>
      <w:marRight w:val="0"/>
      <w:marTop w:val="0"/>
      <w:marBottom w:val="0"/>
      <w:divBdr>
        <w:top w:val="none" w:sz="0" w:space="0" w:color="auto"/>
        <w:left w:val="none" w:sz="0" w:space="0" w:color="auto"/>
        <w:bottom w:val="none" w:sz="0" w:space="0" w:color="auto"/>
        <w:right w:val="none" w:sz="0" w:space="0" w:color="auto"/>
      </w:divBdr>
    </w:div>
    <w:div w:id="2085714082">
      <w:bodyDiv w:val="1"/>
      <w:marLeft w:val="0"/>
      <w:marRight w:val="0"/>
      <w:marTop w:val="0"/>
      <w:marBottom w:val="0"/>
      <w:divBdr>
        <w:top w:val="none" w:sz="0" w:space="0" w:color="auto"/>
        <w:left w:val="none" w:sz="0" w:space="0" w:color="auto"/>
        <w:bottom w:val="none" w:sz="0" w:space="0" w:color="auto"/>
        <w:right w:val="none" w:sz="0" w:space="0" w:color="auto"/>
      </w:divBdr>
    </w:div>
    <w:div w:id="2088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7063-53C3-40D1-9E49-EC20B3AA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CoC Debriefing Summary</vt:lpstr>
    </vt:vector>
  </TitlesOfParts>
  <Company>Housing and Urban Development</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Debriefing Summary</dc:title>
  <dc:creator>H23043</dc:creator>
  <cp:lastModifiedBy>Michael Ullman</cp:lastModifiedBy>
  <cp:revision>2</cp:revision>
  <cp:lastPrinted>2016-04-27T21:38:00Z</cp:lastPrinted>
  <dcterms:created xsi:type="dcterms:W3CDTF">2016-08-03T02:05:00Z</dcterms:created>
  <dcterms:modified xsi:type="dcterms:W3CDTF">2016-08-03T02:05:00Z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